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6B6C" w14:textId="77777777" w:rsidR="006478E7" w:rsidRPr="00490FBB" w:rsidRDefault="006478E7" w:rsidP="006478E7">
      <w:pPr>
        <w:spacing w:before="120" w:after="120" w:line="312" w:lineRule="auto"/>
        <w:jc w:val="center"/>
      </w:pPr>
      <w:r w:rsidRPr="00490FBB">
        <w:rPr>
          <w:b/>
          <w:noProof/>
          <w:lang w:eastAsia="en-AU"/>
        </w:rPr>
        <w:drawing>
          <wp:inline distT="0" distB="0" distL="0" distR="0" wp14:anchorId="42587FCD" wp14:editId="582BB802">
            <wp:extent cx="1891665" cy="1229995"/>
            <wp:effectExtent l="0" t="0" r="0" b="0"/>
            <wp:docPr id="1" name="Picture 1" title="Department of Health Logo"/>
            <wp:cNvGraphicFramePr/>
            <a:graphic xmlns:a="http://schemas.openxmlformats.org/drawingml/2006/main">
              <a:graphicData uri="http://schemas.openxmlformats.org/drawingml/2006/picture">
                <pic:pic xmlns:pic="http://schemas.openxmlformats.org/drawingml/2006/picture">
                  <pic:nvPicPr>
                    <pic:cNvPr id="1" name="Picture 2" title="Department of Health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226820"/>
                    </a:xfrm>
                    <a:prstGeom prst="rect">
                      <a:avLst/>
                    </a:prstGeom>
                    <a:noFill/>
                    <a:ln>
                      <a:noFill/>
                    </a:ln>
                  </pic:spPr>
                </pic:pic>
              </a:graphicData>
            </a:graphic>
          </wp:inline>
        </w:drawing>
      </w:r>
    </w:p>
    <w:p w14:paraId="50B6D781" w14:textId="3B250263" w:rsidR="006478E7" w:rsidRPr="00490FBB" w:rsidRDefault="006C5509" w:rsidP="006C5509">
      <w:pPr>
        <w:pStyle w:val="Heading10"/>
        <w:spacing w:before="1920"/>
        <w:jc w:val="center"/>
        <w:rPr>
          <w:sz w:val="48"/>
          <w:szCs w:val="48"/>
        </w:rPr>
      </w:pPr>
      <w:r>
        <w:rPr>
          <w:sz w:val="48"/>
          <w:szCs w:val="48"/>
        </w:rPr>
        <w:t xml:space="preserve">MSAC </w:t>
      </w:r>
      <w:r w:rsidR="006478E7" w:rsidRPr="00490FBB">
        <w:rPr>
          <w:sz w:val="48"/>
          <w:szCs w:val="48"/>
        </w:rPr>
        <w:t xml:space="preserve">Application </w:t>
      </w:r>
      <w:r w:rsidR="00EC5865">
        <w:rPr>
          <w:sz w:val="48"/>
          <w:szCs w:val="48"/>
        </w:rPr>
        <w:t>1671</w:t>
      </w:r>
      <w:r w:rsidR="006478E7" w:rsidRPr="00490FBB">
        <w:rPr>
          <w:sz w:val="48"/>
          <w:szCs w:val="48"/>
        </w:rPr>
        <w:t>:</w:t>
      </w:r>
    </w:p>
    <w:p w14:paraId="11765312" w14:textId="50028F96" w:rsidR="006478E7" w:rsidRPr="00490FBB" w:rsidRDefault="00EC5865" w:rsidP="006478E7">
      <w:pPr>
        <w:pStyle w:val="Heading10"/>
        <w:jc w:val="center"/>
        <w:rPr>
          <w:sz w:val="48"/>
          <w:szCs w:val="48"/>
        </w:rPr>
      </w:pPr>
      <w:r w:rsidRPr="003C2648">
        <w:rPr>
          <w:color w:val="548DD4"/>
          <w:sz w:val="48"/>
          <w:szCs w:val="48"/>
        </w:rPr>
        <w:t>Targeted carrier testing for severe monogenic conditions</w:t>
      </w:r>
    </w:p>
    <w:p w14:paraId="39CC0389" w14:textId="4E10A20A" w:rsidR="006478E7" w:rsidRPr="00490FBB" w:rsidRDefault="00617609" w:rsidP="006C5509">
      <w:pPr>
        <w:pStyle w:val="Heading1"/>
        <w:spacing w:before="1560"/>
      </w:pPr>
      <w:r>
        <w:t>Ratified</w:t>
      </w:r>
      <w:r w:rsidR="00836908">
        <w:t xml:space="preserve"> </w:t>
      </w:r>
      <w:r w:rsidR="00AB7B49">
        <w:br/>
      </w:r>
      <w:r w:rsidR="006478E7" w:rsidRPr="00490FBB">
        <w:t>PICO Confirmation</w:t>
      </w:r>
    </w:p>
    <w:p w14:paraId="23900CA0" w14:textId="77777777" w:rsidR="006478E7" w:rsidRPr="00490FBB" w:rsidRDefault="006478E7">
      <w:r w:rsidRPr="00490FBB">
        <w:br w:type="page"/>
      </w:r>
    </w:p>
    <w:p w14:paraId="219312C8" w14:textId="77777777" w:rsidR="006478E7" w:rsidRPr="002D6303" w:rsidRDefault="006478E7" w:rsidP="00D52956">
      <w:pPr>
        <w:spacing w:after="160" w:line="259" w:lineRule="auto"/>
        <w:rPr>
          <w:b/>
          <w:bCs/>
          <w:i/>
          <w:iCs/>
        </w:rPr>
      </w:pPr>
      <w:r w:rsidRPr="002D6303">
        <w:rPr>
          <w:b/>
          <w:bCs/>
          <w:i/>
          <w:iCs/>
        </w:rPr>
        <w:lastRenderedPageBreak/>
        <w:t>Summary of PI</w:t>
      </w:r>
      <w:r w:rsidR="00235B21" w:rsidRPr="002D6303">
        <w:rPr>
          <w:b/>
          <w:bCs/>
          <w:i/>
          <w:iCs/>
        </w:rPr>
        <w:t xml:space="preserve">CO/PPICO criteria to define </w:t>
      </w:r>
      <w:r w:rsidRPr="002D6303">
        <w:rPr>
          <w:b/>
          <w:bCs/>
          <w:i/>
          <w:iCs/>
        </w:rPr>
        <w:t>question(s) to be addressed in an Assessment Report to the Medical Services Advisory Committee (MSAC)</w:t>
      </w:r>
    </w:p>
    <w:p w14:paraId="224459F3" w14:textId="6635EF84" w:rsidR="00D52956" w:rsidRDefault="00D52956" w:rsidP="00D52956">
      <w:pPr>
        <w:pStyle w:val="Caption"/>
      </w:pPr>
      <w:bookmarkStart w:id="0" w:name="_Ref69732160"/>
      <w:bookmarkStart w:id="1" w:name="_Ref69732155"/>
      <w:r>
        <w:t>Table</w:t>
      </w:r>
      <w:r w:rsidR="00FD4C65">
        <w:t> </w:t>
      </w:r>
      <w:r>
        <w:fldChar w:fldCharType="begin"/>
      </w:r>
      <w:r>
        <w:instrText xml:space="preserve"> SEQ Table \* ARABIC </w:instrText>
      </w:r>
      <w:r>
        <w:fldChar w:fldCharType="separate"/>
      </w:r>
      <w:r w:rsidR="001F1746">
        <w:rPr>
          <w:noProof/>
        </w:rPr>
        <w:t>1</w:t>
      </w:r>
      <w:r>
        <w:fldChar w:fldCharType="end"/>
      </w:r>
      <w:bookmarkEnd w:id="0"/>
      <w:r>
        <w:tab/>
        <w:t xml:space="preserve">PICO for </w:t>
      </w:r>
      <w:r w:rsidR="00EC5865">
        <w:t>t</w:t>
      </w:r>
      <w:r w:rsidR="00EC5865" w:rsidRPr="00EC5865">
        <w:t xml:space="preserve">argeted carrier testing for severe monogenic conditions </w:t>
      </w:r>
      <w:r>
        <w:t xml:space="preserve">in </w:t>
      </w:r>
      <w:r w:rsidR="00EC5865">
        <w:t>people at high risk of being a heterozygous genetic carrier of a severe monogenic condition</w:t>
      </w:r>
      <w:r>
        <w:t>: PICO Set 1</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923"/>
        <w:gridCol w:w="7643"/>
      </w:tblGrid>
      <w:tr w:rsidR="006478E7" w:rsidRPr="00490FBB" w14:paraId="2A509B30" w14:textId="77777777" w:rsidTr="00C54349">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333B8A35" w14:textId="77777777" w:rsidR="006478E7" w:rsidRPr="00490FBB" w:rsidRDefault="006478E7" w:rsidP="00C54349">
            <w:pPr>
              <w:spacing w:before="20" w:after="20" w:line="240" w:lineRule="auto"/>
              <w:rPr>
                <w:b/>
              </w:rPr>
            </w:pPr>
            <w:bookmarkStart w:id="2" w:name="Title_Table1" w:colFirst="0" w:colLast="0"/>
            <w:r w:rsidRPr="00490FBB">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1DF4F" w14:textId="77777777" w:rsidR="006478E7" w:rsidRPr="00D8346F" w:rsidRDefault="006478E7" w:rsidP="00C54349">
            <w:pPr>
              <w:spacing w:before="20" w:after="20" w:line="240" w:lineRule="auto"/>
              <w:rPr>
                <w:b/>
              </w:rPr>
            </w:pPr>
            <w:r w:rsidRPr="00D8346F">
              <w:rPr>
                <w:b/>
              </w:rPr>
              <w:t>Description</w:t>
            </w:r>
          </w:p>
        </w:tc>
      </w:tr>
      <w:bookmarkEnd w:id="2"/>
      <w:tr w:rsidR="006478E7" w:rsidRPr="00490FBB" w14:paraId="78E0BB65" w14:textId="77777777" w:rsidTr="006478E7">
        <w:tc>
          <w:tcPr>
            <w:tcW w:w="1005" w:type="pct"/>
            <w:tcBorders>
              <w:top w:val="single" w:sz="8" w:space="0" w:color="auto"/>
              <w:left w:val="single" w:sz="8" w:space="0" w:color="auto"/>
              <w:bottom w:val="single" w:sz="4" w:space="0" w:color="auto"/>
              <w:right w:val="single" w:sz="4" w:space="0" w:color="auto"/>
            </w:tcBorders>
            <w:hideMark/>
          </w:tcPr>
          <w:p w14:paraId="715E50D5" w14:textId="12875936" w:rsidR="006478E7" w:rsidRPr="00490FBB" w:rsidRDefault="00F660E8" w:rsidP="00E01349">
            <w:pPr>
              <w:spacing w:before="120" w:after="120" w:line="240" w:lineRule="auto"/>
              <w:rPr>
                <w:rFonts w:cs="Arial"/>
              </w:rPr>
            </w:pPr>
            <w:r>
              <w:rPr>
                <w:rFonts w:cs="Arial"/>
              </w:rPr>
              <w:t>Population</w:t>
            </w:r>
            <w:r w:rsidR="009131AD">
              <w:rPr>
                <w:rFonts w:cs="Arial"/>
              </w:rPr>
              <w:t>s</w:t>
            </w:r>
          </w:p>
        </w:tc>
        <w:tc>
          <w:tcPr>
            <w:tcW w:w="3995" w:type="pct"/>
            <w:tcBorders>
              <w:top w:val="single" w:sz="4" w:space="0" w:color="auto"/>
              <w:left w:val="single" w:sz="4" w:space="0" w:color="auto"/>
              <w:bottom w:val="single" w:sz="4" w:space="0" w:color="auto"/>
              <w:right w:val="single" w:sz="4" w:space="0" w:color="auto"/>
            </w:tcBorders>
            <w:hideMark/>
          </w:tcPr>
          <w:p w14:paraId="6D6199E8" w14:textId="00A39E87" w:rsidR="00BC1BCD" w:rsidRPr="008100D4" w:rsidRDefault="00BC1BCD" w:rsidP="008100D4">
            <w:pPr>
              <w:autoSpaceDE w:val="0"/>
              <w:autoSpaceDN w:val="0"/>
              <w:adjustRightInd w:val="0"/>
              <w:spacing w:line="23" w:lineRule="atLeast"/>
              <w:rPr>
                <w:rFonts w:asciiTheme="minorHAnsi" w:hAnsiTheme="minorHAnsi" w:cstheme="minorHAnsi"/>
                <w:iCs/>
              </w:rPr>
            </w:pPr>
            <w:r>
              <w:rPr>
                <w:rFonts w:asciiTheme="minorHAnsi" w:hAnsiTheme="minorHAnsi" w:cstheme="minorHAnsi"/>
                <w:iCs/>
              </w:rPr>
              <w:t xml:space="preserve">This application proposes </w:t>
            </w:r>
            <w:r w:rsidR="002C7A72">
              <w:rPr>
                <w:rFonts w:asciiTheme="minorHAnsi" w:hAnsiTheme="minorHAnsi" w:cstheme="minorHAnsi"/>
                <w:iCs/>
              </w:rPr>
              <w:t xml:space="preserve">testing in </w:t>
            </w:r>
            <w:r>
              <w:rPr>
                <w:rFonts w:asciiTheme="minorHAnsi" w:hAnsiTheme="minorHAnsi" w:cstheme="minorHAnsi"/>
                <w:iCs/>
              </w:rPr>
              <w:t>the Ashkenazi Jewish population</w:t>
            </w:r>
            <w:r w:rsidR="002C0318">
              <w:rPr>
                <w:rFonts w:asciiTheme="minorHAnsi" w:hAnsiTheme="minorHAnsi" w:cstheme="minorHAnsi"/>
                <w:iCs/>
              </w:rPr>
              <w:t>, as</w:t>
            </w:r>
            <w:r>
              <w:rPr>
                <w:rFonts w:asciiTheme="minorHAnsi" w:hAnsiTheme="minorHAnsi" w:cstheme="minorHAnsi"/>
                <w:iCs/>
              </w:rPr>
              <w:t xml:space="preserve"> reflected in the below identified subpopulations.</w:t>
            </w:r>
          </w:p>
          <w:p w14:paraId="1FA0FBC7" w14:textId="035EA5E3" w:rsidR="00C704B6" w:rsidRPr="008100D4" w:rsidRDefault="00C704B6" w:rsidP="00C704B6">
            <w:pPr>
              <w:pStyle w:val="ListParagraph"/>
              <w:numPr>
                <w:ilvl w:val="0"/>
                <w:numId w:val="9"/>
              </w:numPr>
              <w:autoSpaceDE w:val="0"/>
              <w:autoSpaceDN w:val="0"/>
              <w:adjustRightInd w:val="0"/>
              <w:spacing w:line="23" w:lineRule="atLeast"/>
              <w:rPr>
                <w:rFonts w:asciiTheme="minorHAnsi" w:hAnsiTheme="minorHAnsi" w:cstheme="minorHAnsi"/>
                <w:iCs/>
              </w:rPr>
            </w:pPr>
            <w:r w:rsidRPr="008100D4">
              <w:rPr>
                <w:rFonts w:asciiTheme="minorHAnsi" w:hAnsiTheme="minorHAnsi" w:cstheme="minorHAnsi"/>
                <w:iCs/>
              </w:rPr>
              <w:t xml:space="preserve">Asymptomatic individuals with a &gt;10% a priori aggregate personal risk of being a heterozygous genetic carrier of </w:t>
            </w:r>
            <w:r w:rsidR="008F197F">
              <w:rPr>
                <w:rFonts w:asciiTheme="minorHAnsi" w:hAnsiTheme="minorHAnsi" w:cstheme="minorHAnsi"/>
                <w:iCs/>
              </w:rPr>
              <w:t xml:space="preserve">a </w:t>
            </w:r>
            <w:r w:rsidR="00B9530E">
              <w:rPr>
                <w:rFonts w:asciiTheme="minorHAnsi" w:hAnsiTheme="minorHAnsi" w:cstheme="minorHAnsi"/>
                <w:iCs/>
              </w:rPr>
              <w:t xml:space="preserve">variant in </w:t>
            </w:r>
            <w:r w:rsidRPr="008100D4">
              <w:rPr>
                <w:rFonts w:asciiTheme="minorHAnsi" w:hAnsiTheme="minorHAnsi" w:cstheme="minorHAnsi"/>
                <w:iCs/>
              </w:rPr>
              <w:t xml:space="preserve">the following </w:t>
            </w:r>
            <w:r w:rsidR="005E7D4E">
              <w:rPr>
                <w:rFonts w:asciiTheme="minorHAnsi" w:hAnsiTheme="minorHAnsi" w:cstheme="minorHAnsi"/>
                <w:iCs/>
              </w:rPr>
              <w:t>autosomal recessive</w:t>
            </w:r>
            <w:r w:rsidRPr="008100D4">
              <w:rPr>
                <w:rFonts w:asciiTheme="minorHAnsi" w:hAnsiTheme="minorHAnsi" w:cstheme="minorHAnsi"/>
                <w:iCs/>
              </w:rPr>
              <w:t xml:space="preserve"> and X-linked genes: </w:t>
            </w:r>
            <w:r w:rsidRPr="008100D4">
              <w:rPr>
                <w:rFonts w:asciiTheme="minorHAnsi" w:hAnsiTheme="minorHAnsi" w:cstheme="minorHAnsi"/>
                <w:i/>
              </w:rPr>
              <w:t>HEXA, ASPA, ELP1, MCOLN1, G6PC</w:t>
            </w:r>
            <w:r w:rsidR="00386B23">
              <w:rPr>
                <w:rFonts w:asciiTheme="minorHAnsi" w:hAnsiTheme="minorHAnsi" w:cstheme="minorHAnsi"/>
                <w:i/>
              </w:rPr>
              <w:t>1,</w:t>
            </w:r>
            <w:r w:rsidRPr="008100D4">
              <w:rPr>
                <w:rFonts w:asciiTheme="minorHAnsi" w:hAnsiTheme="minorHAnsi" w:cstheme="minorHAnsi"/>
                <w:i/>
              </w:rPr>
              <w:t xml:space="preserve"> SLC37A4, FANCA, FANCC, FANCG, GBA, SMPD1, BLM</w:t>
            </w:r>
          </w:p>
          <w:p w14:paraId="3F1423F6" w14:textId="20055C04" w:rsidR="00C704B6" w:rsidRPr="008100D4" w:rsidRDefault="00060C99" w:rsidP="00C704B6">
            <w:pPr>
              <w:pStyle w:val="ListParagraph"/>
              <w:numPr>
                <w:ilvl w:val="0"/>
                <w:numId w:val="9"/>
              </w:numPr>
              <w:autoSpaceDE w:val="0"/>
              <w:autoSpaceDN w:val="0"/>
              <w:adjustRightInd w:val="0"/>
              <w:spacing w:line="23" w:lineRule="atLeast"/>
              <w:rPr>
                <w:rFonts w:asciiTheme="minorHAnsi" w:hAnsiTheme="minorHAnsi" w:cstheme="minorHAnsi"/>
                <w:iCs/>
              </w:rPr>
            </w:pPr>
            <w:r>
              <w:rPr>
                <w:rFonts w:asciiTheme="minorHAnsi" w:hAnsiTheme="minorHAnsi" w:cstheme="minorHAnsi"/>
                <w:iCs/>
              </w:rPr>
              <w:t>Reproductive partners of individuals described in population 1, where either partner is i</w:t>
            </w:r>
            <w:r w:rsidR="00C704B6" w:rsidRPr="008100D4">
              <w:rPr>
                <w:rFonts w:asciiTheme="minorHAnsi" w:hAnsiTheme="minorHAnsi" w:cstheme="minorHAnsi"/>
                <w:iCs/>
              </w:rPr>
              <w:t>n the first trimester of pregnancy</w:t>
            </w:r>
            <w:r w:rsidR="002C0318">
              <w:rPr>
                <w:rFonts w:asciiTheme="minorHAnsi" w:hAnsiTheme="minorHAnsi" w:cstheme="minorHAnsi"/>
                <w:iCs/>
              </w:rPr>
              <w:t>.</w:t>
            </w:r>
          </w:p>
          <w:p w14:paraId="02B46106" w14:textId="08A7B70F" w:rsidR="00C704B6" w:rsidRPr="008100D4" w:rsidRDefault="00C704B6" w:rsidP="00C704B6">
            <w:pPr>
              <w:pStyle w:val="ListParagraph"/>
              <w:numPr>
                <w:ilvl w:val="0"/>
                <w:numId w:val="9"/>
              </w:numPr>
              <w:autoSpaceDE w:val="0"/>
              <w:autoSpaceDN w:val="0"/>
              <w:adjustRightInd w:val="0"/>
              <w:spacing w:line="23" w:lineRule="atLeast"/>
              <w:rPr>
                <w:rFonts w:asciiTheme="minorHAnsi" w:hAnsiTheme="minorHAnsi" w:cstheme="minorHAnsi"/>
                <w:iCs/>
              </w:rPr>
            </w:pPr>
            <w:r w:rsidRPr="008100D4">
              <w:rPr>
                <w:rFonts w:asciiTheme="minorHAnsi" w:hAnsiTheme="minorHAnsi" w:cstheme="minorHAnsi"/>
                <w:iCs/>
              </w:rPr>
              <w:t>Reproductive partners of individuals described in population 1</w:t>
            </w:r>
            <w:r w:rsidRPr="0005733B">
              <w:rPr>
                <w:rFonts w:asciiTheme="minorHAnsi" w:hAnsiTheme="minorHAnsi" w:cstheme="minorHAnsi"/>
                <w:iCs/>
              </w:rPr>
              <w:t xml:space="preserve">, where carrier status of an autosomal recessive condition </w:t>
            </w:r>
            <w:r w:rsidR="00B90DC7">
              <w:rPr>
                <w:rFonts w:asciiTheme="minorHAnsi" w:hAnsiTheme="minorHAnsi" w:cstheme="minorHAnsi"/>
                <w:iCs/>
              </w:rPr>
              <w:t xml:space="preserve">associated with pathogenic or likely pathogenic variants of the genes </w:t>
            </w:r>
            <w:r w:rsidRPr="0005733B">
              <w:rPr>
                <w:rFonts w:asciiTheme="minorHAnsi" w:hAnsiTheme="minorHAnsi" w:cstheme="minorHAnsi"/>
                <w:iCs/>
              </w:rPr>
              <w:t>described in (1) has been confirmed.</w:t>
            </w:r>
          </w:p>
          <w:p w14:paraId="4A4FF7C2" w14:textId="7D601B71" w:rsidR="00666B40" w:rsidRPr="00D8346F" w:rsidRDefault="00C704B6" w:rsidP="002C7A72">
            <w:pPr>
              <w:pStyle w:val="ListParagraph"/>
              <w:numPr>
                <w:ilvl w:val="0"/>
                <w:numId w:val="9"/>
              </w:numPr>
              <w:autoSpaceDE w:val="0"/>
              <w:autoSpaceDN w:val="0"/>
              <w:adjustRightInd w:val="0"/>
              <w:spacing w:line="23" w:lineRule="atLeast"/>
            </w:pPr>
            <w:r w:rsidRPr="008100D4">
              <w:rPr>
                <w:rFonts w:asciiTheme="minorHAnsi" w:hAnsiTheme="minorHAnsi" w:cstheme="minorHAnsi"/>
                <w:iCs/>
              </w:rPr>
              <w:t xml:space="preserve">First trimester diagnostic testing of the potentially affected singleton </w:t>
            </w:r>
            <w:proofErr w:type="spellStart"/>
            <w:r w:rsidRPr="008100D4">
              <w:rPr>
                <w:rFonts w:asciiTheme="minorHAnsi" w:hAnsiTheme="minorHAnsi" w:cstheme="minorHAnsi"/>
                <w:iCs/>
              </w:rPr>
              <w:t>fetus</w:t>
            </w:r>
            <w:proofErr w:type="spellEnd"/>
            <w:r w:rsidRPr="008100D4">
              <w:rPr>
                <w:rFonts w:asciiTheme="minorHAnsi" w:hAnsiTheme="minorHAnsi" w:cstheme="minorHAnsi"/>
                <w:iCs/>
              </w:rPr>
              <w:t xml:space="preserve"> in a couple identified from any of (1), (2) and (3) as both being carriers of </w:t>
            </w:r>
            <w:r w:rsidR="002C0318">
              <w:rPr>
                <w:rFonts w:asciiTheme="minorHAnsi" w:hAnsiTheme="minorHAnsi" w:cstheme="minorHAnsi"/>
                <w:iCs/>
              </w:rPr>
              <w:t>an</w:t>
            </w:r>
            <w:r w:rsidRPr="008100D4">
              <w:rPr>
                <w:rFonts w:asciiTheme="minorHAnsi" w:hAnsiTheme="minorHAnsi" w:cstheme="minorHAnsi"/>
                <w:iCs/>
              </w:rPr>
              <w:t xml:space="preserve"> autosomal condition, or one partner is a carrier of an X-linked condition</w:t>
            </w:r>
            <w:r w:rsidR="002C0318">
              <w:rPr>
                <w:rFonts w:asciiTheme="minorHAnsi" w:hAnsiTheme="minorHAnsi" w:cstheme="minorHAnsi"/>
                <w:iCs/>
              </w:rPr>
              <w:t>,</w:t>
            </w:r>
            <w:r w:rsidR="00B90DC7">
              <w:rPr>
                <w:rFonts w:asciiTheme="minorHAnsi" w:hAnsiTheme="minorHAnsi" w:cstheme="minorHAnsi"/>
                <w:iCs/>
              </w:rPr>
              <w:t xml:space="preserve"> associated with pathogenic or likely pathogenic variants of the genes</w:t>
            </w:r>
            <w:r w:rsidRPr="0005733B">
              <w:rPr>
                <w:rFonts w:asciiTheme="minorHAnsi" w:hAnsiTheme="minorHAnsi" w:cstheme="minorHAnsi"/>
                <w:iCs/>
              </w:rPr>
              <w:t xml:space="preserve"> described in (1).</w:t>
            </w:r>
          </w:p>
        </w:tc>
      </w:tr>
      <w:tr w:rsidR="00EC5865" w:rsidRPr="00490FBB" w14:paraId="2A9CC9A6" w14:textId="77777777" w:rsidTr="006478E7">
        <w:tc>
          <w:tcPr>
            <w:tcW w:w="1005" w:type="pct"/>
            <w:tcBorders>
              <w:top w:val="single" w:sz="8" w:space="0" w:color="auto"/>
              <w:left w:val="single" w:sz="8" w:space="0" w:color="auto"/>
              <w:bottom w:val="single" w:sz="4" w:space="0" w:color="auto"/>
              <w:right w:val="single" w:sz="4" w:space="0" w:color="auto"/>
            </w:tcBorders>
            <w:hideMark/>
          </w:tcPr>
          <w:p w14:paraId="75E49351" w14:textId="538ADCA1" w:rsidR="00EC5865" w:rsidRPr="00490FBB" w:rsidRDefault="00EC5865" w:rsidP="00EC5865">
            <w:pPr>
              <w:spacing w:before="120" w:after="120" w:line="240" w:lineRule="auto"/>
              <w:rPr>
                <w:rFonts w:cs="Arial"/>
              </w:rPr>
            </w:pPr>
            <w:r w:rsidRPr="00490FBB">
              <w:rPr>
                <w:rFonts w:cs="Arial"/>
              </w:rPr>
              <w:t>Prior tests</w:t>
            </w:r>
            <w:r>
              <w:rPr>
                <w:rFonts w:cs="Arial"/>
              </w:rPr>
              <w:t xml:space="preserve"> </w:t>
            </w:r>
          </w:p>
        </w:tc>
        <w:tc>
          <w:tcPr>
            <w:tcW w:w="3995" w:type="pct"/>
            <w:tcBorders>
              <w:top w:val="single" w:sz="4" w:space="0" w:color="auto"/>
              <w:left w:val="single" w:sz="4" w:space="0" w:color="auto"/>
              <w:bottom w:val="single" w:sz="4" w:space="0" w:color="auto"/>
              <w:right w:val="single" w:sz="4" w:space="0" w:color="auto"/>
            </w:tcBorders>
            <w:hideMark/>
          </w:tcPr>
          <w:p w14:paraId="5CF47E43" w14:textId="0C583A8A" w:rsidR="00EC5865" w:rsidRPr="00D8346F" w:rsidRDefault="00EC5865" w:rsidP="00EC5865">
            <w:r w:rsidRPr="00D8346F">
              <w:t>No prior tests</w:t>
            </w:r>
            <w:r w:rsidR="007E158B" w:rsidRPr="00D8346F">
              <w:t xml:space="preserve"> as all po</w:t>
            </w:r>
            <w:r w:rsidR="009719D1" w:rsidRPr="00D8346F">
              <w:t>p</w:t>
            </w:r>
            <w:r w:rsidR="007E158B" w:rsidRPr="00D8346F">
              <w:t>ulations for testing are asymptomatic</w:t>
            </w:r>
          </w:p>
        </w:tc>
      </w:tr>
      <w:tr w:rsidR="00EC5865" w:rsidRPr="00490FBB" w14:paraId="654E13A9"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EC5865" w:rsidRPr="00490FBB" w:rsidRDefault="00EC5865" w:rsidP="00EC5865">
            <w:pPr>
              <w:spacing w:before="120" w:after="120" w:line="240" w:lineRule="auto"/>
              <w:rPr>
                <w:rFonts w:cs="Arial"/>
              </w:rPr>
            </w:pPr>
            <w:r w:rsidRPr="00490FBB">
              <w:rPr>
                <w:rFonts w:cs="Arial"/>
              </w:rPr>
              <w:t>Intervention</w:t>
            </w:r>
          </w:p>
        </w:tc>
        <w:tc>
          <w:tcPr>
            <w:tcW w:w="3995" w:type="pct"/>
            <w:tcBorders>
              <w:top w:val="single" w:sz="4" w:space="0" w:color="auto"/>
              <w:left w:val="single" w:sz="4" w:space="0" w:color="auto"/>
              <w:bottom w:val="single" w:sz="4" w:space="0" w:color="auto"/>
              <w:right w:val="single" w:sz="4" w:space="0" w:color="auto"/>
            </w:tcBorders>
            <w:hideMark/>
          </w:tcPr>
          <w:p w14:paraId="5DD52878" w14:textId="16F260EA" w:rsidR="00135BA9" w:rsidRDefault="00C704B6" w:rsidP="00C704B6">
            <w:pPr>
              <w:autoSpaceDE w:val="0"/>
              <w:autoSpaceDN w:val="0"/>
              <w:adjustRightInd w:val="0"/>
              <w:spacing w:line="23" w:lineRule="atLeast"/>
              <w:rPr>
                <w:rFonts w:asciiTheme="minorHAnsi" w:hAnsiTheme="minorHAnsi" w:cstheme="minorHAnsi"/>
                <w:iCs/>
              </w:rPr>
            </w:pPr>
            <w:r w:rsidRPr="0005733B">
              <w:rPr>
                <w:rFonts w:asciiTheme="minorHAnsi" w:hAnsiTheme="minorHAnsi" w:cstheme="minorHAnsi"/>
                <w:iCs/>
              </w:rPr>
              <w:t xml:space="preserve">An </w:t>
            </w:r>
            <w:r w:rsidRPr="0005733B">
              <w:rPr>
                <w:rFonts w:asciiTheme="minorHAnsi" w:hAnsiTheme="minorHAnsi" w:cstheme="minorHAnsi"/>
                <w:i/>
              </w:rPr>
              <w:t>in vitro</w:t>
            </w:r>
            <w:r w:rsidRPr="0005733B">
              <w:rPr>
                <w:rFonts w:asciiTheme="minorHAnsi" w:hAnsiTheme="minorHAnsi" w:cstheme="minorHAnsi"/>
                <w:iCs/>
              </w:rPr>
              <w:t xml:space="preserve"> carrier testing panel to identify the carriers of variants associated with nine severe monogenic disorders. The gene panel will comprise </w:t>
            </w:r>
            <w:r w:rsidRPr="0005733B">
              <w:rPr>
                <w:rFonts w:asciiTheme="minorHAnsi" w:hAnsiTheme="minorHAnsi" w:cstheme="minorHAnsi"/>
                <w:i/>
              </w:rPr>
              <w:t>HEXA, ASPA, ELP1</w:t>
            </w:r>
            <w:r w:rsidR="00FC7F18">
              <w:rPr>
                <w:rFonts w:asciiTheme="minorHAnsi" w:hAnsiTheme="minorHAnsi" w:cstheme="minorHAnsi"/>
                <w:i/>
              </w:rPr>
              <w:t xml:space="preserve">, </w:t>
            </w:r>
            <w:r w:rsidRPr="0005733B">
              <w:rPr>
                <w:rFonts w:asciiTheme="minorHAnsi" w:hAnsiTheme="minorHAnsi" w:cstheme="minorHAnsi"/>
                <w:i/>
              </w:rPr>
              <w:t>MCOLN1, G6PC</w:t>
            </w:r>
            <w:r w:rsidR="00FC7F18">
              <w:rPr>
                <w:rFonts w:asciiTheme="minorHAnsi" w:hAnsiTheme="minorHAnsi" w:cstheme="minorHAnsi"/>
                <w:i/>
              </w:rPr>
              <w:t>1</w:t>
            </w:r>
            <w:r w:rsidRPr="0005733B">
              <w:rPr>
                <w:rFonts w:asciiTheme="minorHAnsi" w:hAnsiTheme="minorHAnsi" w:cstheme="minorHAnsi"/>
                <w:i/>
              </w:rPr>
              <w:t xml:space="preserve"> and SLC37A4, FANCA</w:t>
            </w:r>
            <w:r w:rsidR="002C0318">
              <w:rPr>
                <w:rFonts w:asciiTheme="minorHAnsi" w:hAnsiTheme="minorHAnsi" w:cstheme="minorHAnsi"/>
                <w:i/>
              </w:rPr>
              <w:t xml:space="preserve"> and</w:t>
            </w:r>
            <w:r w:rsidRPr="0005733B">
              <w:rPr>
                <w:rFonts w:asciiTheme="minorHAnsi" w:hAnsiTheme="minorHAnsi" w:cstheme="minorHAnsi"/>
                <w:i/>
              </w:rPr>
              <w:t xml:space="preserve"> FANCC</w:t>
            </w:r>
            <w:r w:rsidR="002C0318">
              <w:rPr>
                <w:rFonts w:asciiTheme="minorHAnsi" w:hAnsiTheme="minorHAnsi" w:cstheme="minorHAnsi"/>
                <w:i/>
              </w:rPr>
              <w:t xml:space="preserve"> and</w:t>
            </w:r>
            <w:r w:rsidRPr="0005733B">
              <w:rPr>
                <w:rFonts w:asciiTheme="minorHAnsi" w:hAnsiTheme="minorHAnsi" w:cstheme="minorHAnsi"/>
                <w:i/>
              </w:rPr>
              <w:t xml:space="preserve"> FANCG, GBA, SMPD1, BLM </w:t>
            </w:r>
            <w:r w:rsidRPr="0005733B">
              <w:rPr>
                <w:rFonts w:asciiTheme="minorHAnsi" w:hAnsiTheme="minorHAnsi" w:cstheme="minorHAnsi"/>
                <w:iCs/>
              </w:rPr>
              <w:t xml:space="preserve">that cause </w:t>
            </w:r>
            <w:r w:rsidR="00E96718">
              <w:rPr>
                <w:rFonts w:asciiTheme="minorHAnsi" w:hAnsiTheme="minorHAnsi" w:cstheme="minorHAnsi"/>
                <w:iCs/>
              </w:rPr>
              <w:t>Tay Sachs Disease (</w:t>
            </w:r>
            <w:r w:rsidRPr="0005733B">
              <w:rPr>
                <w:rFonts w:asciiTheme="minorHAnsi" w:hAnsiTheme="minorHAnsi" w:cstheme="minorHAnsi"/>
                <w:iCs/>
              </w:rPr>
              <w:t>TSD</w:t>
            </w:r>
            <w:r w:rsidR="00E96718">
              <w:rPr>
                <w:rFonts w:asciiTheme="minorHAnsi" w:hAnsiTheme="minorHAnsi" w:cstheme="minorHAnsi"/>
                <w:iCs/>
              </w:rPr>
              <w:t>)</w:t>
            </w:r>
            <w:r w:rsidRPr="0005733B">
              <w:rPr>
                <w:rFonts w:asciiTheme="minorHAnsi" w:hAnsiTheme="minorHAnsi" w:cstheme="minorHAnsi"/>
                <w:iCs/>
              </w:rPr>
              <w:t>, Canavan disease</w:t>
            </w:r>
            <w:r w:rsidR="000001DE">
              <w:rPr>
                <w:rFonts w:asciiTheme="minorHAnsi" w:hAnsiTheme="minorHAnsi" w:cstheme="minorHAnsi"/>
                <w:iCs/>
              </w:rPr>
              <w:t xml:space="preserve"> (CD)</w:t>
            </w:r>
            <w:r w:rsidRPr="0005733B">
              <w:rPr>
                <w:rFonts w:asciiTheme="minorHAnsi" w:hAnsiTheme="minorHAnsi" w:cstheme="minorHAnsi"/>
                <w:iCs/>
              </w:rPr>
              <w:t>, Familial dysautonomia</w:t>
            </w:r>
            <w:r w:rsidR="000001DE">
              <w:rPr>
                <w:rFonts w:asciiTheme="minorHAnsi" w:hAnsiTheme="minorHAnsi" w:cstheme="minorHAnsi"/>
                <w:iCs/>
              </w:rPr>
              <w:t xml:space="preserve"> (FD)</w:t>
            </w:r>
            <w:r w:rsidRPr="0005733B">
              <w:rPr>
                <w:rFonts w:asciiTheme="minorHAnsi" w:hAnsiTheme="minorHAnsi" w:cstheme="minorHAnsi"/>
                <w:iCs/>
              </w:rPr>
              <w:t xml:space="preserve">, </w:t>
            </w:r>
            <w:proofErr w:type="spellStart"/>
            <w:r w:rsidRPr="0005733B">
              <w:rPr>
                <w:rFonts w:asciiTheme="minorHAnsi" w:hAnsiTheme="minorHAnsi" w:cstheme="minorHAnsi"/>
                <w:iCs/>
              </w:rPr>
              <w:t>Mucolipidosis</w:t>
            </w:r>
            <w:proofErr w:type="spellEnd"/>
            <w:r w:rsidRPr="0005733B">
              <w:rPr>
                <w:rFonts w:asciiTheme="minorHAnsi" w:hAnsiTheme="minorHAnsi" w:cstheme="minorHAnsi"/>
                <w:iCs/>
              </w:rPr>
              <w:t xml:space="preserve"> Type IV</w:t>
            </w:r>
            <w:r w:rsidR="000001DE">
              <w:rPr>
                <w:rFonts w:asciiTheme="minorHAnsi" w:hAnsiTheme="minorHAnsi" w:cstheme="minorHAnsi"/>
                <w:iCs/>
              </w:rPr>
              <w:t xml:space="preserve"> (MLD)</w:t>
            </w:r>
            <w:r w:rsidRPr="0005733B">
              <w:rPr>
                <w:rFonts w:asciiTheme="minorHAnsi" w:hAnsiTheme="minorHAnsi" w:cstheme="minorHAnsi"/>
                <w:iCs/>
              </w:rPr>
              <w:t xml:space="preserve">, Glycogen storage </w:t>
            </w:r>
            <w:r w:rsidR="00CB075C">
              <w:rPr>
                <w:rFonts w:asciiTheme="minorHAnsi" w:hAnsiTheme="minorHAnsi" w:cstheme="minorHAnsi"/>
                <w:iCs/>
              </w:rPr>
              <w:t xml:space="preserve">disease </w:t>
            </w:r>
            <w:r w:rsidRPr="0005733B">
              <w:rPr>
                <w:rFonts w:asciiTheme="minorHAnsi" w:hAnsiTheme="minorHAnsi" w:cstheme="minorHAnsi"/>
                <w:iCs/>
              </w:rPr>
              <w:t>type 1</w:t>
            </w:r>
            <w:r w:rsidR="000001DE">
              <w:rPr>
                <w:rFonts w:asciiTheme="minorHAnsi" w:hAnsiTheme="minorHAnsi" w:cstheme="minorHAnsi"/>
                <w:iCs/>
              </w:rPr>
              <w:t xml:space="preserve"> (GSD1)</w:t>
            </w:r>
            <w:r w:rsidRPr="0005733B">
              <w:rPr>
                <w:rFonts w:asciiTheme="minorHAnsi" w:hAnsiTheme="minorHAnsi" w:cstheme="minorHAnsi"/>
                <w:iCs/>
              </w:rPr>
              <w:t>, Fanconi anaemia type C</w:t>
            </w:r>
            <w:r w:rsidR="000001DE">
              <w:rPr>
                <w:rFonts w:asciiTheme="minorHAnsi" w:hAnsiTheme="minorHAnsi" w:cstheme="minorHAnsi"/>
                <w:iCs/>
              </w:rPr>
              <w:t xml:space="preserve"> (FA)</w:t>
            </w:r>
            <w:r w:rsidRPr="0005733B">
              <w:rPr>
                <w:rFonts w:asciiTheme="minorHAnsi" w:hAnsiTheme="minorHAnsi" w:cstheme="minorHAnsi"/>
                <w:iCs/>
              </w:rPr>
              <w:t>, Gaucher disease</w:t>
            </w:r>
            <w:r w:rsidR="000001DE">
              <w:rPr>
                <w:rFonts w:asciiTheme="minorHAnsi" w:hAnsiTheme="minorHAnsi" w:cstheme="minorHAnsi"/>
                <w:iCs/>
              </w:rPr>
              <w:t xml:space="preserve"> (GD)</w:t>
            </w:r>
            <w:r w:rsidRPr="0005733B">
              <w:rPr>
                <w:rFonts w:asciiTheme="minorHAnsi" w:hAnsiTheme="minorHAnsi" w:cstheme="minorHAnsi"/>
                <w:iCs/>
              </w:rPr>
              <w:t>, Niemann Pick Disease type A</w:t>
            </w:r>
            <w:r w:rsidR="000001DE">
              <w:rPr>
                <w:rFonts w:asciiTheme="minorHAnsi" w:hAnsiTheme="minorHAnsi" w:cstheme="minorHAnsi"/>
                <w:iCs/>
              </w:rPr>
              <w:t xml:space="preserve"> (NPD)</w:t>
            </w:r>
            <w:r w:rsidRPr="0005733B">
              <w:rPr>
                <w:rFonts w:asciiTheme="minorHAnsi" w:hAnsiTheme="minorHAnsi" w:cstheme="minorHAnsi"/>
                <w:iCs/>
              </w:rPr>
              <w:t>, and Bloom Syndrome</w:t>
            </w:r>
            <w:r w:rsidR="000001DE">
              <w:rPr>
                <w:rFonts w:asciiTheme="minorHAnsi" w:hAnsiTheme="minorHAnsi" w:cstheme="minorHAnsi"/>
                <w:iCs/>
              </w:rPr>
              <w:t xml:space="preserve"> (BS)</w:t>
            </w:r>
            <w:r w:rsidRPr="0005733B">
              <w:rPr>
                <w:rFonts w:asciiTheme="minorHAnsi" w:hAnsiTheme="minorHAnsi" w:cstheme="minorHAnsi"/>
                <w:iCs/>
              </w:rPr>
              <w:t>, resp</w:t>
            </w:r>
            <w:r w:rsidR="006C55CE">
              <w:rPr>
                <w:rFonts w:asciiTheme="minorHAnsi" w:hAnsiTheme="minorHAnsi" w:cstheme="minorHAnsi"/>
                <w:iCs/>
              </w:rPr>
              <w:t xml:space="preserve"> </w:t>
            </w:r>
            <w:proofErr w:type="spellStart"/>
            <w:r w:rsidRPr="0005733B">
              <w:rPr>
                <w:rFonts w:asciiTheme="minorHAnsi" w:hAnsiTheme="minorHAnsi" w:cstheme="minorHAnsi"/>
                <w:iCs/>
              </w:rPr>
              <w:t>ectively</w:t>
            </w:r>
            <w:proofErr w:type="spellEnd"/>
            <w:r w:rsidRPr="0005733B">
              <w:rPr>
                <w:rFonts w:asciiTheme="minorHAnsi" w:hAnsiTheme="minorHAnsi" w:cstheme="minorHAnsi"/>
                <w:iCs/>
              </w:rPr>
              <w:t>.</w:t>
            </w:r>
          </w:p>
          <w:p w14:paraId="4BCE65B3" w14:textId="629BBC49" w:rsidR="00EC5865" w:rsidRDefault="00381941" w:rsidP="002C7A72">
            <w:pPr>
              <w:autoSpaceDE w:val="0"/>
              <w:autoSpaceDN w:val="0"/>
              <w:adjustRightInd w:val="0"/>
              <w:spacing w:line="23" w:lineRule="atLeast"/>
              <w:rPr>
                <w:rFonts w:asciiTheme="minorHAnsi" w:hAnsiTheme="minorHAnsi" w:cstheme="minorHAnsi"/>
                <w:iCs/>
              </w:rPr>
            </w:pPr>
            <w:r>
              <w:rPr>
                <w:rFonts w:asciiTheme="minorHAnsi" w:hAnsiTheme="minorHAnsi" w:cstheme="minorHAnsi"/>
                <w:iCs/>
              </w:rPr>
              <w:t>Panel t</w:t>
            </w:r>
            <w:r w:rsidR="009C1679">
              <w:rPr>
                <w:rFonts w:asciiTheme="minorHAnsi" w:hAnsiTheme="minorHAnsi" w:cstheme="minorHAnsi"/>
                <w:iCs/>
              </w:rPr>
              <w:t>est</w:t>
            </w:r>
            <w:r w:rsidR="00227C16">
              <w:rPr>
                <w:rFonts w:asciiTheme="minorHAnsi" w:hAnsiTheme="minorHAnsi" w:cstheme="minorHAnsi"/>
                <w:iCs/>
              </w:rPr>
              <w:t>ing</w:t>
            </w:r>
            <w:r w:rsidR="009C1679">
              <w:rPr>
                <w:rFonts w:asciiTheme="minorHAnsi" w:hAnsiTheme="minorHAnsi" w:cstheme="minorHAnsi"/>
                <w:iCs/>
              </w:rPr>
              <w:t xml:space="preserve"> in practice will also include </w:t>
            </w:r>
            <w:r w:rsidR="009C1679">
              <w:rPr>
                <w:rFonts w:asciiTheme="minorHAnsi" w:hAnsiTheme="minorHAnsi" w:cstheme="minorHAnsi"/>
                <w:i/>
              </w:rPr>
              <w:t xml:space="preserve">CFTR, SMN1 </w:t>
            </w:r>
            <w:r w:rsidR="009C1679" w:rsidRPr="00227C16">
              <w:rPr>
                <w:rFonts w:asciiTheme="minorHAnsi" w:hAnsiTheme="minorHAnsi" w:cstheme="minorHAnsi"/>
                <w:iCs/>
              </w:rPr>
              <w:t>and</w:t>
            </w:r>
            <w:r w:rsidR="009C1679">
              <w:rPr>
                <w:rFonts w:asciiTheme="minorHAnsi" w:hAnsiTheme="minorHAnsi" w:cstheme="minorHAnsi"/>
                <w:i/>
              </w:rPr>
              <w:t xml:space="preserve"> FMR1</w:t>
            </w:r>
            <w:r w:rsidR="009C1679">
              <w:rPr>
                <w:rFonts w:asciiTheme="minorHAnsi" w:hAnsiTheme="minorHAnsi" w:cstheme="minorHAnsi"/>
                <w:iCs/>
              </w:rPr>
              <w:t>, however these are not included in the intervention for assessment as they have already been supported by MSAC.</w:t>
            </w:r>
            <w:r w:rsidR="009C1679">
              <w:rPr>
                <w:rFonts w:asciiTheme="minorHAnsi" w:hAnsiTheme="minorHAnsi" w:cstheme="minorHAnsi"/>
                <w:i/>
              </w:rPr>
              <w:t xml:space="preserve"> </w:t>
            </w:r>
            <w:r w:rsidR="00135BA9" w:rsidRPr="009C1679">
              <w:rPr>
                <w:rFonts w:asciiTheme="minorHAnsi" w:hAnsiTheme="minorHAnsi" w:cstheme="minorHAnsi"/>
                <w:iCs/>
              </w:rPr>
              <w:t>Note</w:t>
            </w:r>
            <w:r w:rsidR="00135BA9">
              <w:rPr>
                <w:rFonts w:asciiTheme="minorHAnsi" w:hAnsiTheme="minorHAnsi" w:cstheme="minorHAnsi"/>
                <w:iCs/>
              </w:rPr>
              <w:t xml:space="preserve"> that any analyses using the alternative comparator </w:t>
            </w:r>
            <w:r w:rsidR="00B05520">
              <w:rPr>
                <w:rFonts w:asciiTheme="minorHAnsi" w:hAnsiTheme="minorHAnsi" w:cstheme="minorHAnsi"/>
                <w:iCs/>
              </w:rPr>
              <w:t>of ‘</w:t>
            </w:r>
            <w:r w:rsidR="00135BA9">
              <w:rPr>
                <w:rFonts w:asciiTheme="minorHAnsi" w:hAnsiTheme="minorHAnsi" w:cstheme="minorHAnsi"/>
                <w:iCs/>
              </w:rPr>
              <w:t>no genetic testing</w:t>
            </w:r>
            <w:r w:rsidR="00B05520">
              <w:rPr>
                <w:rFonts w:asciiTheme="minorHAnsi" w:hAnsiTheme="minorHAnsi" w:cstheme="minorHAnsi"/>
                <w:iCs/>
              </w:rPr>
              <w:t>’</w:t>
            </w:r>
            <w:r w:rsidR="00135BA9">
              <w:rPr>
                <w:rFonts w:asciiTheme="minorHAnsi" w:hAnsiTheme="minorHAnsi" w:cstheme="minorHAnsi"/>
                <w:iCs/>
              </w:rPr>
              <w:t xml:space="preserve"> </w:t>
            </w:r>
            <w:r w:rsidR="00B05520">
              <w:rPr>
                <w:rFonts w:asciiTheme="minorHAnsi" w:hAnsiTheme="minorHAnsi" w:cstheme="minorHAnsi"/>
                <w:iCs/>
              </w:rPr>
              <w:t xml:space="preserve">should also include </w:t>
            </w:r>
            <w:r w:rsidR="00135BA9">
              <w:rPr>
                <w:rFonts w:asciiTheme="minorHAnsi" w:hAnsiTheme="minorHAnsi" w:cstheme="minorHAnsi"/>
                <w:iCs/>
              </w:rPr>
              <w:t xml:space="preserve">testing for variants in </w:t>
            </w:r>
            <w:r w:rsidR="00135BA9" w:rsidRPr="002C7A72">
              <w:rPr>
                <w:rFonts w:asciiTheme="minorHAnsi" w:hAnsiTheme="minorHAnsi" w:cstheme="minorHAnsi"/>
                <w:i/>
              </w:rPr>
              <w:t>CFTR</w:t>
            </w:r>
            <w:r w:rsidR="00135BA9" w:rsidRPr="002C7A72">
              <w:rPr>
                <w:rFonts w:asciiTheme="minorHAnsi" w:hAnsiTheme="minorHAnsi" w:cstheme="minorHAnsi"/>
                <w:iCs/>
              </w:rPr>
              <w:t xml:space="preserve">, </w:t>
            </w:r>
            <w:r w:rsidR="00135BA9" w:rsidRPr="002C7A72">
              <w:rPr>
                <w:rFonts w:asciiTheme="minorHAnsi" w:hAnsiTheme="minorHAnsi" w:cstheme="minorHAnsi"/>
                <w:i/>
              </w:rPr>
              <w:t>SMN1</w:t>
            </w:r>
            <w:r w:rsidR="00135BA9">
              <w:rPr>
                <w:rFonts w:asciiTheme="minorHAnsi" w:hAnsiTheme="minorHAnsi" w:cstheme="minorHAnsi"/>
                <w:iCs/>
              </w:rPr>
              <w:t xml:space="preserve"> and </w:t>
            </w:r>
            <w:r w:rsidR="00135BA9" w:rsidRPr="002C7A72">
              <w:rPr>
                <w:rFonts w:asciiTheme="minorHAnsi" w:hAnsiTheme="minorHAnsi" w:cstheme="minorHAnsi"/>
                <w:i/>
              </w:rPr>
              <w:t>FMR1</w:t>
            </w:r>
            <w:r w:rsidR="00135BA9">
              <w:rPr>
                <w:rFonts w:asciiTheme="minorHAnsi" w:hAnsiTheme="minorHAnsi" w:cstheme="minorHAnsi"/>
                <w:iCs/>
              </w:rPr>
              <w:t xml:space="preserve"> </w:t>
            </w:r>
            <w:r w:rsidR="00B05520">
              <w:rPr>
                <w:rFonts w:asciiTheme="minorHAnsi" w:hAnsiTheme="minorHAnsi" w:cstheme="minorHAnsi"/>
                <w:iCs/>
              </w:rPr>
              <w:t xml:space="preserve">in </w:t>
            </w:r>
            <w:r w:rsidR="00135BA9">
              <w:rPr>
                <w:rFonts w:asciiTheme="minorHAnsi" w:hAnsiTheme="minorHAnsi" w:cstheme="minorHAnsi"/>
                <w:iCs/>
              </w:rPr>
              <w:t>the intervention</w:t>
            </w:r>
            <w:r w:rsidR="00EC5865" w:rsidRPr="002C7A72">
              <w:rPr>
                <w:rFonts w:asciiTheme="minorHAnsi" w:hAnsiTheme="minorHAnsi" w:cstheme="minorHAnsi"/>
                <w:iCs/>
              </w:rPr>
              <w:t>.</w:t>
            </w:r>
          </w:p>
          <w:p w14:paraId="08D60481" w14:textId="77777777" w:rsidR="00381941" w:rsidRDefault="00381941" w:rsidP="002C7A72">
            <w:pPr>
              <w:autoSpaceDE w:val="0"/>
              <w:autoSpaceDN w:val="0"/>
              <w:adjustRightInd w:val="0"/>
              <w:spacing w:line="23" w:lineRule="atLeast"/>
            </w:pPr>
            <w:r>
              <w:t>The partner test is to be gene sequencing in the base case, and in a sensitivity analysis only the panel variants within the relevant gene(s).</w:t>
            </w:r>
          </w:p>
          <w:p w14:paraId="3E51DB12" w14:textId="7680C556" w:rsidR="00381941" w:rsidRPr="00D8346F" w:rsidRDefault="00381941" w:rsidP="002C7A72">
            <w:pPr>
              <w:autoSpaceDE w:val="0"/>
              <w:autoSpaceDN w:val="0"/>
              <w:adjustRightInd w:val="0"/>
              <w:spacing w:line="23" w:lineRule="atLeast"/>
            </w:pPr>
            <w:r>
              <w:t xml:space="preserve">The </w:t>
            </w:r>
            <w:proofErr w:type="spellStart"/>
            <w:r>
              <w:t>fetal</w:t>
            </w:r>
            <w:proofErr w:type="spellEnd"/>
            <w:r>
              <w:t xml:space="preserve"> test is to be testing for the variant(s) known to be present in the parents.</w:t>
            </w:r>
          </w:p>
        </w:tc>
      </w:tr>
      <w:tr w:rsidR="00EC5865" w:rsidRPr="00490FBB" w14:paraId="1F5647C3"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7F55173A" w14:textId="77777777" w:rsidR="00EC5865" w:rsidRPr="00490FBB" w:rsidRDefault="00EC5865" w:rsidP="00EC5865">
            <w:pPr>
              <w:spacing w:before="120" w:after="120" w:line="240" w:lineRule="auto"/>
              <w:rPr>
                <w:rFonts w:cs="Arial"/>
              </w:rPr>
            </w:pPr>
            <w:r w:rsidRPr="00490FBB">
              <w:rPr>
                <w:rFonts w:cs="Arial"/>
              </w:rPr>
              <w:t>Comparator</w:t>
            </w:r>
            <w:r>
              <w:rPr>
                <w:rFonts w:cs="Arial"/>
              </w:rPr>
              <w:t>/s</w:t>
            </w:r>
          </w:p>
        </w:tc>
        <w:tc>
          <w:tcPr>
            <w:tcW w:w="3995" w:type="pct"/>
            <w:tcBorders>
              <w:top w:val="single" w:sz="4" w:space="0" w:color="auto"/>
              <w:left w:val="single" w:sz="4" w:space="0" w:color="auto"/>
              <w:bottom w:val="single" w:sz="4" w:space="0" w:color="auto"/>
              <w:right w:val="single" w:sz="4" w:space="0" w:color="auto"/>
            </w:tcBorders>
            <w:hideMark/>
          </w:tcPr>
          <w:p w14:paraId="7E690E4B" w14:textId="7918A1D7" w:rsidR="004D6E95" w:rsidRPr="004D6E95" w:rsidRDefault="00B9530E" w:rsidP="004D6E95">
            <w:pPr>
              <w:autoSpaceDE w:val="0"/>
              <w:autoSpaceDN w:val="0"/>
              <w:adjustRightInd w:val="0"/>
              <w:spacing w:line="23" w:lineRule="atLeast"/>
              <w:rPr>
                <w:rFonts w:asciiTheme="minorHAnsi" w:hAnsiTheme="minorHAnsi" w:cstheme="minorHAnsi"/>
                <w:iCs/>
              </w:rPr>
            </w:pPr>
            <w:r>
              <w:rPr>
                <w:rFonts w:asciiTheme="minorHAnsi" w:hAnsiTheme="minorHAnsi" w:cstheme="minorHAnsi"/>
                <w:iCs/>
              </w:rPr>
              <w:t xml:space="preserve">The </w:t>
            </w:r>
            <w:r w:rsidR="00135BA9">
              <w:rPr>
                <w:rFonts w:asciiTheme="minorHAnsi" w:hAnsiTheme="minorHAnsi" w:cstheme="minorHAnsi"/>
                <w:iCs/>
              </w:rPr>
              <w:t xml:space="preserve">base case </w:t>
            </w:r>
            <w:r>
              <w:rPr>
                <w:rFonts w:asciiTheme="minorHAnsi" w:hAnsiTheme="minorHAnsi" w:cstheme="minorHAnsi"/>
                <w:iCs/>
              </w:rPr>
              <w:t>comparator should be</w:t>
            </w:r>
            <w:r w:rsidR="00C704B6" w:rsidRPr="00D8346F">
              <w:rPr>
                <w:rFonts w:asciiTheme="minorHAnsi" w:hAnsiTheme="minorHAnsi" w:cstheme="minorHAnsi"/>
                <w:iCs/>
              </w:rPr>
              <w:t xml:space="preserve"> genetic carrier testing for spinal muscular atrophy (SMA), cystic fibrosis (CF), and fragile-X syndrome (FXS), as supported by MSAC for Application 1573. </w:t>
            </w:r>
            <w:r w:rsidRPr="009D4644">
              <w:rPr>
                <w:rFonts w:asciiTheme="minorHAnsi" w:hAnsiTheme="minorHAnsi" w:cstheme="minorHAnsi"/>
                <w:i/>
              </w:rPr>
              <w:t xml:space="preserve">PASC recognised that 1573 testing </w:t>
            </w:r>
            <w:r w:rsidR="005C0F9D" w:rsidRPr="009D4644">
              <w:rPr>
                <w:rFonts w:asciiTheme="minorHAnsi" w:hAnsiTheme="minorHAnsi" w:cstheme="minorHAnsi"/>
                <w:i/>
              </w:rPr>
              <w:t xml:space="preserve">has </w:t>
            </w:r>
            <w:r w:rsidRPr="009D4644">
              <w:rPr>
                <w:rFonts w:asciiTheme="minorHAnsi" w:hAnsiTheme="minorHAnsi" w:cstheme="minorHAnsi"/>
                <w:i/>
              </w:rPr>
              <w:t>not</w:t>
            </w:r>
            <w:r w:rsidR="005C0F9D" w:rsidRPr="009D4644">
              <w:rPr>
                <w:rFonts w:asciiTheme="minorHAnsi" w:hAnsiTheme="minorHAnsi" w:cstheme="minorHAnsi"/>
                <w:i/>
              </w:rPr>
              <w:t xml:space="preserve"> yet been</w:t>
            </w:r>
            <w:r w:rsidRPr="009D4644">
              <w:rPr>
                <w:rFonts w:asciiTheme="minorHAnsi" w:hAnsiTheme="minorHAnsi" w:cstheme="minorHAnsi"/>
                <w:i/>
              </w:rPr>
              <w:t xml:space="preserve"> supported by Government, </w:t>
            </w:r>
            <w:r w:rsidR="005C0F9D" w:rsidRPr="009D4644">
              <w:rPr>
                <w:rFonts w:asciiTheme="minorHAnsi" w:hAnsiTheme="minorHAnsi" w:cstheme="minorHAnsi"/>
                <w:i/>
              </w:rPr>
              <w:t xml:space="preserve">so </w:t>
            </w:r>
            <w:r w:rsidRPr="009D4644">
              <w:rPr>
                <w:rFonts w:asciiTheme="minorHAnsi" w:hAnsiTheme="minorHAnsi" w:cstheme="minorHAnsi"/>
                <w:i/>
              </w:rPr>
              <w:t>an alternative comparator would be ‘No genetic testing’</w:t>
            </w:r>
            <w:r>
              <w:rPr>
                <w:rFonts w:asciiTheme="minorHAnsi" w:hAnsiTheme="minorHAnsi" w:cstheme="minorHAnsi"/>
                <w:iCs/>
              </w:rPr>
              <w:t>.</w:t>
            </w:r>
          </w:p>
        </w:tc>
      </w:tr>
      <w:tr w:rsidR="00C64764" w:rsidRPr="00490FBB" w14:paraId="7B9D3F1A" w14:textId="77777777" w:rsidTr="006478E7">
        <w:tc>
          <w:tcPr>
            <w:tcW w:w="1005" w:type="pct"/>
            <w:tcBorders>
              <w:top w:val="single" w:sz="4" w:space="0" w:color="auto"/>
              <w:left w:val="single" w:sz="8" w:space="0" w:color="auto"/>
              <w:bottom w:val="single" w:sz="4" w:space="0" w:color="auto"/>
              <w:right w:val="single" w:sz="4" w:space="0" w:color="auto"/>
            </w:tcBorders>
          </w:tcPr>
          <w:p w14:paraId="4C0BC8B3" w14:textId="360E2B11" w:rsidR="00C64764" w:rsidRPr="00490FBB" w:rsidRDefault="00C64764" w:rsidP="00E01349">
            <w:pPr>
              <w:spacing w:before="120" w:after="120" w:line="240" w:lineRule="auto"/>
              <w:rPr>
                <w:rFonts w:cs="Arial"/>
              </w:rPr>
            </w:pPr>
            <w:r w:rsidRPr="00490FBB">
              <w:rPr>
                <w:rFonts w:cs="Arial"/>
              </w:rPr>
              <w:t xml:space="preserve">Reference standard </w:t>
            </w:r>
          </w:p>
        </w:tc>
        <w:tc>
          <w:tcPr>
            <w:tcW w:w="3995" w:type="pct"/>
            <w:tcBorders>
              <w:top w:val="single" w:sz="4" w:space="0" w:color="auto"/>
              <w:left w:val="single" w:sz="4" w:space="0" w:color="auto"/>
              <w:bottom w:val="single" w:sz="4" w:space="0" w:color="auto"/>
              <w:right w:val="single" w:sz="4" w:space="0" w:color="auto"/>
            </w:tcBorders>
          </w:tcPr>
          <w:p w14:paraId="13C84DFB" w14:textId="0E0AB39A" w:rsidR="00C704B6" w:rsidRDefault="000B75FB" w:rsidP="00C704B6">
            <w:pPr>
              <w:autoSpaceDE w:val="0"/>
              <w:autoSpaceDN w:val="0"/>
              <w:adjustRightInd w:val="0"/>
              <w:spacing w:line="23" w:lineRule="atLeast"/>
              <w:rPr>
                <w:rFonts w:asciiTheme="minorHAnsi" w:hAnsiTheme="minorHAnsi" w:cstheme="minorHAnsi"/>
                <w:iCs/>
              </w:rPr>
            </w:pPr>
            <w:r w:rsidRPr="00D8346F">
              <w:rPr>
                <w:rFonts w:asciiTheme="minorHAnsi" w:hAnsiTheme="minorHAnsi" w:cstheme="minorHAnsi"/>
                <w:iCs/>
              </w:rPr>
              <w:t>Not applicable</w:t>
            </w:r>
          </w:p>
          <w:p w14:paraId="4B98D16B" w14:textId="40A6D1BC" w:rsidR="006C5509" w:rsidRPr="006C5509" w:rsidRDefault="006C5509" w:rsidP="006C5509">
            <w:pPr>
              <w:tabs>
                <w:tab w:val="left" w:pos="1455"/>
              </w:tabs>
              <w:rPr>
                <w:rFonts w:asciiTheme="minorHAnsi" w:hAnsiTheme="minorHAnsi" w:cstheme="minorHAnsi"/>
              </w:rPr>
            </w:pPr>
            <w:r>
              <w:rPr>
                <w:rFonts w:asciiTheme="minorHAnsi" w:hAnsiTheme="minorHAnsi" w:cstheme="minorHAnsi"/>
              </w:rPr>
              <w:tab/>
            </w:r>
          </w:p>
          <w:p w14:paraId="7B1F5217" w14:textId="420D7156" w:rsidR="00C64764" w:rsidRPr="002F1C7A" w:rsidRDefault="00C704B6" w:rsidP="002C7A72">
            <w:pPr>
              <w:autoSpaceDE w:val="0"/>
              <w:autoSpaceDN w:val="0"/>
              <w:adjustRightInd w:val="0"/>
              <w:spacing w:line="23" w:lineRule="atLeast"/>
              <w:rPr>
                <w:iCs/>
              </w:rPr>
            </w:pPr>
            <w:r w:rsidRPr="002F1C7A">
              <w:rPr>
                <w:rFonts w:asciiTheme="minorHAnsi" w:hAnsiTheme="minorHAnsi" w:cstheme="minorHAnsi"/>
                <w:iCs/>
              </w:rPr>
              <w:lastRenderedPageBreak/>
              <w:t>Where other genetic testing is used, the choice of reference standard will be dependent on the diagnostic testing technology used.</w:t>
            </w:r>
          </w:p>
        </w:tc>
      </w:tr>
      <w:tr w:rsidR="00EC5865" w:rsidRPr="00490FBB" w14:paraId="591B1D2D" w14:textId="77777777" w:rsidTr="00457C7D">
        <w:trPr>
          <w:trHeight w:val="70"/>
        </w:trPr>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EC5865" w:rsidRPr="00490FBB" w:rsidRDefault="00EC5865" w:rsidP="00EC5865">
            <w:pPr>
              <w:spacing w:before="120" w:after="120" w:line="240" w:lineRule="auto"/>
              <w:rPr>
                <w:rFonts w:cs="Arial"/>
              </w:rPr>
            </w:pPr>
            <w:r w:rsidRPr="00490FBB">
              <w:rPr>
                <w:rFonts w:cs="Arial"/>
              </w:rPr>
              <w:lastRenderedPageBreak/>
              <w:t>Outcomes</w:t>
            </w:r>
          </w:p>
        </w:tc>
        <w:tc>
          <w:tcPr>
            <w:tcW w:w="3995" w:type="pct"/>
            <w:tcBorders>
              <w:top w:val="single" w:sz="4" w:space="0" w:color="auto"/>
              <w:left w:val="single" w:sz="4" w:space="0" w:color="auto"/>
              <w:bottom w:val="single" w:sz="4" w:space="0" w:color="auto"/>
              <w:right w:val="single" w:sz="4" w:space="0" w:color="auto"/>
            </w:tcBorders>
            <w:hideMark/>
          </w:tcPr>
          <w:p w14:paraId="40E4C5D1" w14:textId="77777777" w:rsidR="000B75FB" w:rsidRPr="002F1C7A" w:rsidRDefault="000B75FB" w:rsidP="000B75FB">
            <w:p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Outcomes that relate to the direct safety of the health technology or comparator:</w:t>
            </w:r>
          </w:p>
          <w:p w14:paraId="2385BE0A" w14:textId="0542837A" w:rsidR="000B75FB" w:rsidRDefault="000B75FB" w:rsidP="000B75FB">
            <w:pPr>
              <w:pStyle w:val="ListParagraph"/>
              <w:numPr>
                <w:ilvl w:val="0"/>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Physical and/or psychological harms from genetic testing or no genetic testing, adverse events from testing</w:t>
            </w:r>
          </w:p>
          <w:p w14:paraId="63BA9857" w14:textId="1E612EEA" w:rsidR="00B9530E" w:rsidRPr="002F1C7A" w:rsidRDefault="00B9530E" w:rsidP="00B9530E">
            <w:pPr>
              <w:pStyle w:val="ListParagraph"/>
              <w:numPr>
                <w:ilvl w:val="2"/>
                <w:numId w:val="14"/>
              </w:numPr>
              <w:autoSpaceDE w:val="0"/>
              <w:autoSpaceDN w:val="0"/>
              <w:adjustRightInd w:val="0"/>
              <w:spacing w:line="23" w:lineRule="atLeast"/>
              <w:rPr>
                <w:rFonts w:asciiTheme="minorHAnsi" w:hAnsiTheme="minorHAnsi" w:cstheme="minorHAnsi"/>
                <w:iCs/>
              </w:rPr>
            </w:pPr>
            <w:r w:rsidRPr="00B9530E">
              <w:rPr>
                <w:rFonts w:asciiTheme="minorHAnsi" w:hAnsiTheme="minorHAnsi" w:cstheme="minorHAnsi"/>
                <w:iCs/>
              </w:rPr>
              <w:t>Risk of not undertaking subsequent testing for general population risk conditions due to false sense of security from negative small panel test result</w:t>
            </w:r>
            <w:r w:rsidR="009D3EFA">
              <w:rPr>
                <w:rFonts w:asciiTheme="minorHAnsi" w:hAnsiTheme="minorHAnsi" w:cstheme="minorHAnsi"/>
                <w:iCs/>
              </w:rPr>
              <w:t>.</w:t>
            </w:r>
          </w:p>
          <w:p w14:paraId="5CD85AAD" w14:textId="77777777" w:rsidR="000B75FB" w:rsidRPr="002F1C7A" w:rsidRDefault="000B75FB" w:rsidP="000B75FB">
            <w:p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Test accuracy outcomes: </w:t>
            </w:r>
          </w:p>
          <w:p w14:paraId="731B7EE7" w14:textId="7C540590" w:rsidR="000B75FB" w:rsidRPr="002F1C7A" w:rsidRDefault="000B75FB" w:rsidP="000B75FB">
            <w:pPr>
              <w:pStyle w:val="ListParagraph"/>
              <w:numPr>
                <w:ilvl w:val="0"/>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Assessment of diagnostic/test accuracy: sensitivity, specificity, number of false positives, number of false negatives, number of inconclusive results (noting that the diagnostic accuracy of next generation DNA sequencing tests have been established by MSAC, and therefore only if available). Any other technologies that are used for detecting the genes in the population, will be provided by the applicant. The analytical validity will be assessed for all these </w:t>
            </w:r>
            <w:r w:rsidR="0020327D" w:rsidRPr="002F1C7A">
              <w:rPr>
                <w:rFonts w:asciiTheme="minorHAnsi" w:hAnsiTheme="minorHAnsi" w:cstheme="minorHAnsi"/>
                <w:iCs/>
              </w:rPr>
              <w:t>technologies if</w:t>
            </w:r>
            <w:r w:rsidRPr="002F1C7A">
              <w:rPr>
                <w:rFonts w:asciiTheme="minorHAnsi" w:hAnsiTheme="minorHAnsi" w:cstheme="minorHAnsi"/>
                <w:iCs/>
              </w:rPr>
              <w:t xml:space="preserve"> their diagnostic accuracy has not already been established.</w:t>
            </w:r>
          </w:p>
          <w:p w14:paraId="00E05EE1" w14:textId="77777777" w:rsidR="000B75FB" w:rsidRPr="002F1C7A" w:rsidRDefault="000B75FB" w:rsidP="000B75FB">
            <w:pPr>
              <w:pStyle w:val="ListParagraph"/>
              <w:numPr>
                <w:ilvl w:val="0"/>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Clinical utility: </w:t>
            </w:r>
          </w:p>
          <w:p w14:paraId="3AA49410"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Diagnostic yield of carrier testing:</w:t>
            </w:r>
          </w:p>
          <w:p w14:paraId="56D0F7BD" w14:textId="77777777" w:rsidR="000B75FB" w:rsidRPr="002F1C7A" w:rsidRDefault="000B75FB" w:rsidP="000B75FB">
            <w:pPr>
              <w:pStyle w:val="ListParagraph"/>
              <w:numPr>
                <w:ilvl w:val="3"/>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Proportion of tested individuals who are carriers</w:t>
            </w:r>
          </w:p>
          <w:p w14:paraId="29BCEF5E" w14:textId="77777777" w:rsidR="000B75FB" w:rsidRPr="002F1C7A" w:rsidRDefault="000B75FB" w:rsidP="000B75FB">
            <w:pPr>
              <w:pStyle w:val="ListParagraph"/>
              <w:numPr>
                <w:ilvl w:val="3"/>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Proportion of tested couples who are both carriers for the same recessively inherited disease</w:t>
            </w:r>
          </w:p>
          <w:p w14:paraId="5037BD98"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Change in reproductive decisions made where panel testing is performed antenatally</w:t>
            </w:r>
          </w:p>
          <w:p w14:paraId="05713EE6"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For women already pregnant: rate of termination of pregnancy due to the detection of a variant</w:t>
            </w:r>
          </w:p>
          <w:p w14:paraId="6486A664" w14:textId="2AD226B4"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In addition, PASC agreed that the downstream costs also include the costs of caring for a child who has inherited the severe disabling inheritable diseases.</w:t>
            </w:r>
          </w:p>
          <w:p w14:paraId="1CAA23F2" w14:textId="77777777" w:rsidR="000B75FB" w:rsidRPr="002F1C7A" w:rsidRDefault="000B75FB" w:rsidP="000B75FB">
            <w:p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Societal outcomes:</w:t>
            </w:r>
          </w:p>
          <w:p w14:paraId="4631B7AE" w14:textId="77777777" w:rsidR="000B75FB" w:rsidRPr="002F1C7A" w:rsidRDefault="000B75FB" w:rsidP="000B75FB">
            <w:pPr>
              <w:pStyle w:val="ListParagraph"/>
              <w:numPr>
                <w:ilvl w:val="0"/>
                <w:numId w:val="15"/>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Healthcare resource use:</w:t>
            </w:r>
          </w:p>
          <w:p w14:paraId="7C6073F6"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Number of carrier tests and cost of gene carrier testing (in total, and per carrier identified)</w:t>
            </w:r>
          </w:p>
          <w:p w14:paraId="1B4D97D6"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Number and cost of additional medical practitioner consultations</w:t>
            </w:r>
          </w:p>
          <w:p w14:paraId="0AC69CC6" w14:textId="77777777" w:rsidR="000B75FB" w:rsidRPr="002F1C7A" w:rsidRDefault="000B75FB" w:rsidP="000B75FB">
            <w:pPr>
              <w:pStyle w:val="ListParagraph"/>
              <w:numPr>
                <w:ilvl w:val="0"/>
                <w:numId w:val="15"/>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Cost-effectiveness outcomes &amp; financial impact:</w:t>
            </w:r>
          </w:p>
          <w:p w14:paraId="00791BF8"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Population 1 and 2 – number of tests expected, cost of carrier testing</w:t>
            </w:r>
          </w:p>
          <w:p w14:paraId="4132A9DF"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Cost per individual identified with a pathogenic or likely pathogenic variant </w:t>
            </w:r>
          </w:p>
          <w:p w14:paraId="4FABB35E"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Cost per informed reproductive decision</w:t>
            </w:r>
          </w:p>
          <w:p w14:paraId="090CFCE9"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Costs per additional IVF &amp; preimplantation genetic diagnosis event</w:t>
            </w:r>
          </w:p>
          <w:p w14:paraId="524F2F5D"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Population 4 – number of terminations and cost per termination </w:t>
            </w:r>
          </w:p>
          <w:p w14:paraId="42D8EFE2"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 xml:space="preserve">Cost per identified affected </w:t>
            </w:r>
            <w:proofErr w:type="spellStart"/>
            <w:r w:rsidRPr="002F1C7A">
              <w:rPr>
                <w:rFonts w:asciiTheme="minorHAnsi" w:hAnsiTheme="minorHAnsi" w:cstheme="minorHAnsi"/>
                <w:iCs/>
              </w:rPr>
              <w:t>fetus</w:t>
            </w:r>
            <w:proofErr w:type="spellEnd"/>
          </w:p>
          <w:p w14:paraId="5D0C3466" w14:textId="77777777" w:rsidR="000B75FB" w:rsidRPr="002F1C7A" w:rsidRDefault="000B75FB" w:rsidP="000B75FB">
            <w:pPr>
              <w:pStyle w:val="ListParagraph"/>
              <w:numPr>
                <w:ilvl w:val="0"/>
                <w:numId w:val="15"/>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Total healthcare costs:</w:t>
            </w:r>
          </w:p>
          <w:p w14:paraId="38430ED6" w14:textId="77777777" w:rsidR="000B75FB" w:rsidRPr="002F1C7A" w:rsidRDefault="000B75FB" w:rsidP="000B75FB">
            <w:pPr>
              <w:pStyle w:val="ListParagraph"/>
              <w:numPr>
                <w:ilvl w:val="2"/>
                <w:numId w:val="14"/>
              </w:numPr>
              <w:autoSpaceDE w:val="0"/>
              <w:autoSpaceDN w:val="0"/>
              <w:adjustRightInd w:val="0"/>
              <w:spacing w:line="23" w:lineRule="atLeast"/>
              <w:rPr>
                <w:rFonts w:asciiTheme="minorHAnsi" w:hAnsiTheme="minorHAnsi" w:cstheme="minorHAnsi"/>
                <w:iCs/>
              </w:rPr>
            </w:pPr>
            <w:r w:rsidRPr="002F1C7A">
              <w:rPr>
                <w:rFonts w:asciiTheme="minorHAnsi" w:hAnsiTheme="minorHAnsi" w:cstheme="minorHAnsi"/>
                <w:iCs/>
              </w:rPr>
              <w:t>Number and cost of additional medical practitioner consultations</w:t>
            </w:r>
          </w:p>
          <w:p w14:paraId="6F9242D7" w14:textId="11518281" w:rsidR="009F7669" w:rsidRPr="003E736D" w:rsidRDefault="000B75FB" w:rsidP="00556800">
            <w:pPr>
              <w:pStyle w:val="ListParagraph"/>
              <w:numPr>
                <w:ilvl w:val="0"/>
                <w:numId w:val="4"/>
              </w:numPr>
              <w:rPr>
                <w:iCs/>
              </w:rPr>
            </w:pPr>
            <w:r w:rsidRPr="002F1C7A">
              <w:rPr>
                <w:rFonts w:asciiTheme="minorHAnsi" w:hAnsiTheme="minorHAnsi" w:cstheme="minorHAnsi"/>
                <w:iCs/>
              </w:rPr>
              <w:t>Reduction in costs of associated therapies (where applicable)</w:t>
            </w:r>
          </w:p>
        </w:tc>
      </w:tr>
      <w:tr w:rsidR="00BB1698" w:rsidRPr="00490FBB" w14:paraId="4A55FFDB" w14:textId="77777777" w:rsidTr="006478E7">
        <w:tc>
          <w:tcPr>
            <w:tcW w:w="1005" w:type="pct"/>
            <w:tcBorders>
              <w:top w:val="single" w:sz="4" w:space="0" w:color="auto"/>
              <w:left w:val="single" w:sz="8" w:space="0" w:color="auto"/>
              <w:bottom w:val="single" w:sz="8" w:space="0" w:color="auto"/>
              <w:right w:val="single" w:sz="4" w:space="0" w:color="auto"/>
            </w:tcBorders>
          </w:tcPr>
          <w:p w14:paraId="003B36EC" w14:textId="77777777" w:rsidR="00BB1698" w:rsidRPr="00490FBB" w:rsidRDefault="00BB1698" w:rsidP="006C5509">
            <w:pPr>
              <w:pageBreakBefore/>
              <w:spacing w:before="120" w:after="120" w:line="240" w:lineRule="auto"/>
              <w:rPr>
                <w:rFonts w:cs="Arial"/>
              </w:rPr>
            </w:pPr>
            <w:r w:rsidRPr="00490FBB">
              <w:rPr>
                <w:rFonts w:cs="Arial"/>
              </w:rPr>
              <w:lastRenderedPageBreak/>
              <w:t>Assessment questions</w:t>
            </w:r>
          </w:p>
        </w:tc>
        <w:tc>
          <w:tcPr>
            <w:tcW w:w="3995" w:type="pct"/>
            <w:tcBorders>
              <w:top w:val="single" w:sz="4" w:space="0" w:color="auto"/>
              <w:left w:val="single" w:sz="4" w:space="0" w:color="auto"/>
              <w:bottom w:val="single" w:sz="4" w:space="0" w:color="auto"/>
              <w:right w:val="single" w:sz="4" w:space="0" w:color="auto"/>
            </w:tcBorders>
          </w:tcPr>
          <w:p w14:paraId="7AB69A9A" w14:textId="6CFE4E80" w:rsidR="007E1E27" w:rsidRPr="002D6944" w:rsidRDefault="009E60F6" w:rsidP="00D8346F">
            <w:pPr>
              <w:spacing w:before="120" w:after="120" w:line="240" w:lineRule="auto"/>
            </w:pPr>
            <w:r w:rsidRPr="002D6944">
              <w:t>W</w:t>
            </w:r>
            <w:r w:rsidR="00C255D0" w:rsidRPr="002D6944">
              <w:t>hat</w:t>
            </w:r>
            <w:r w:rsidR="00BB1698" w:rsidRPr="002D6944">
              <w:t xml:space="preserve"> is the safety, </w:t>
            </w:r>
            <w:proofErr w:type="gramStart"/>
            <w:r w:rsidR="00BB1698" w:rsidRPr="002D6944">
              <w:t>effectiveness</w:t>
            </w:r>
            <w:proofErr w:type="gramEnd"/>
            <w:r w:rsidR="00BB1698" w:rsidRPr="002D6944">
              <w:t xml:space="preserve"> and cost-effectiveness of </w:t>
            </w:r>
            <w:r w:rsidR="004C266D" w:rsidRPr="002D6944">
              <w:t xml:space="preserve">targeted carrier testing for </w:t>
            </w:r>
            <w:r w:rsidRPr="002D6944">
              <w:t xml:space="preserve">nine </w:t>
            </w:r>
            <w:r w:rsidR="004C266D" w:rsidRPr="002D6944">
              <w:t>severe monogenic conditions</w:t>
            </w:r>
            <w:r w:rsidR="00BB1698" w:rsidRPr="002D6944">
              <w:t xml:space="preserve"> versus </w:t>
            </w:r>
            <w:r w:rsidR="00D071FF" w:rsidRPr="002D6944">
              <w:t xml:space="preserve">existing </w:t>
            </w:r>
            <w:r w:rsidR="004C266D" w:rsidRPr="002D6944">
              <w:t>genetic carrier testing</w:t>
            </w:r>
            <w:r w:rsidR="00BB1698" w:rsidRPr="002D6944">
              <w:t xml:space="preserve"> </w:t>
            </w:r>
            <w:r w:rsidR="000B2FC0" w:rsidRPr="002D6944">
              <w:t xml:space="preserve">(for CF, FXS, and SMA) </w:t>
            </w:r>
            <w:r w:rsidR="00BB1698" w:rsidRPr="002D6944">
              <w:t xml:space="preserve">in </w:t>
            </w:r>
            <w:r w:rsidR="004C266D" w:rsidRPr="002D6944">
              <w:t xml:space="preserve">individuals at a &gt;10% </w:t>
            </w:r>
            <w:r w:rsidR="004C266D" w:rsidRPr="00D8346F">
              <w:t>personal risk of being a heterozygous genetic carrier of a clinically significant disorder associated with pathogenic or likely pathogenic variants of the genes in the testing panel</w:t>
            </w:r>
            <w:r w:rsidR="00BB1698" w:rsidRPr="002D6944">
              <w:t>?</w:t>
            </w:r>
          </w:p>
        </w:tc>
      </w:tr>
    </w:tbl>
    <w:p w14:paraId="0DF97EE6" w14:textId="77777777" w:rsidR="00836908" w:rsidRDefault="00836908">
      <w:pPr>
        <w:spacing w:after="160" w:line="259" w:lineRule="auto"/>
      </w:pPr>
      <w:r>
        <w:br w:type="page"/>
      </w:r>
    </w:p>
    <w:p w14:paraId="53297713" w14:textId="3F32290A" w:rsidR="00912660" w:rsidRDefault="00912660" w:rsidP="00713728">
      <w:pPr>
        <w:pStyle w:val="Heading2"/>
      </w:pPr>
      <w:r>
        <w:lastRenderedPageBreak/>
        <w:t>Purpose of application</w:t>
      </w:r>
    </w:p>
    <w:p w14:paraId="0E65AD1B" w14:textId="50AA0102" w:rsidR="004C2C5E" w:rsidRPr="009A3778" w:rsidRDefault="004C2C5E" w:rsidP="004C2C5E">
      <w:pPr>
        <w:spacing w:after="240"/>
        <w:rPr>
          <w:iCs/>
        </w:rPr>
      </w:pPr>
      <w:r w:rsidRPr="009A3778">
        <w:rPr>
          <w:iCs/>
        </w:rPr>
        <w:t xml:space="preserve">An application requesting </w:t>
      </w:r>
      <w:r w:rsidRPr="004C266D">
        <w:rPr>
          <w:iCs/>
        </w:rPr>
        <w:t>Medicare Benefits Schedule (MBS) listing</w:t>
      </w:r>
      <w:r w:rsidR="004C266D">
        <w:rPr>
          <w:iCs/>
        </w:rPr>
        <w:t xml:space="preserve"> </w:t>
      </w:r>
      <w:r w:rsidRPr="009A3778">
        <w:rPr>
          <w:iCs/>
        </w:rPr>
        <w:t xml:space="preserve">of </w:t>
      </w:r>
      <w:r w:rsidR="004C266D">
        <w:rPr>
          <w:color w:val="000000" w:themeColor="text1"/>
        </w:rPr>
        <w:t xml:space="preserve">targeted carrier testing </w:t>
      </w:r>
      <w:r w:rsidR="00666B40">
        <w:rPr>
          <w:color w:val="000000" w:themeColor="text1"/>
        </w:rPr>
        <w:t>to identify individuals who are carriers of</w:t>
      </w:r>
      <w:r w:rsidR="004C266D">
        <w:rPr>
          <w:color w:val="000000" w:themeColor="text1"/>
        </w:rPr>
        <w:t xml:space="preserve"> severe monogenic conditions</w:t>
      </w:r>
      <w:r w:rsidR="00666B40">
        <w:rPr>
          <w:color w:val="000000" w:themeColor="text1"/>
        </w:rPr>
        <w:t>,</w:t>
      </w:r>
      <w:r w:rsidR="004C266D" w:rsidRPr="00490FBB">
        <w:rPr>
          <w:color w:val="000000" w:themeColor="text1"/>
        </w:rPr>
        <w:t xml:space="preserve"> </w:t>
      </w:r>
      <w:r w:rsidRPr="009A3778">
        <w:rPr>
          <w:iCs/>
        </w:rPr>
        <w:t xml:space="preserve">was received from the </w:t>
      </w:r>
      <w:r w:rsidR="006449BF">
        <w:rPr>
          <w:iCs/>
        </w:rPr>
        <w:t>Royal College of Pathologists of Australasia</w:t>
      </w:r>
      <w:r w:rsidR="005C357C">
        <w:rPr>
          <w:iCs/>
        </w:rPr>
        <w:t xml:space="preserve"> (RCPA)</w:t>
      </w:r>
      <w:r w:rsidR="006449BF">
        <w:rPr>
          <w:iCs/>
        </w:rPr>
        <w:t>,</w:t>
      </w:r>
      <w:r w:rsidRPr="009A3778">
        <w:rPr>
          <w:iCs/>
        </w:rPr>
        <w:t xml:space="preserve"> by the Department of Health.</w:t>
      </w:r>
    </w:p>
    <w:p w14:paraId="2E56479E" w14:textId="63E9F3C6" w:rsidR="000D1FCF" w:rsidRPr="00330A0A" w:rsidRDefault="000D1FCF" w:rsidP="006449BF">
      <w:r w:rsidRPr="00330A0A">
        <w:t xml:space="preserve">The clinical claim </w:t>
      </w:r>
      <w:r w:rsidR="006449BF">
        <w:t>made in the application form is that t</w:t>
      </w:r>
      <w:r w:rsidRPr="00330A0A">
        <w:t xml:space="preserve">he use of the </w:t>
      </w:r>
      <w:r w:rsidR="006449BF">
        <w:t>carrier testing</w:t>
      </w:r>
      <w:r w:rsidRPr="00330A0A">
        <w:t xml:space="preserve"> results in superior health outcomes compared to the </w:t>
      </w:r>
      <w:r w:rsidR="006449BF">
        <w:t>no carrier testing</w:t>
      </w:r>
      <w:r w:rsidRPr="00330A0A">
        <w:t>.</w:t>
      </w:r>
    </w:p>
    <w:p w14:paraId="18E66948" w14:textId="77777777" w:rsidR="00D73332" w:rsidRPr="00FD4C65" w:rsidRDefault="00D73332" w:rsidP="00FD4C65">
      <w:pPr>
        <w:pStyle w:val="Heading2"/>
      </w:pPr>
      <w:r w:rsidRPr="00FD4C65">
        <w:t xml:space="preserve">PICO </w:t>
      </w:r>
      <w:r w:rsidR="00FD4E33" w:rsidRPr="00FD4C65">
        <w:t xml:space="preserve">criteria </w:t>
      </w:r>
    </w:p>
    <w:p w14:paraId="06B30611" w14:textId="77777777" w:rsidR="007D6B83" w:rsidRPr="00713728" w:rsidRDefault="007D6B83" w:rsidP="007D6B83">
      <w:pPr>
        <w:pStyle w:val="Heading3"/>
      </w:pPr>
      <w:r w:rsidRPr="00713728">
        <w:t>Population</w:t>
      </w:r>
    </w:p>
    <w:p w14:paraId="13630498" w14:textId="70481248" w:rsidR="008C09F8" w:rsidRPr="008C09F8" w:rsidRDefault="008C09F8" w:rsidP="004C266D">
      <w:pPr>
        <w:rPr>
          <w:i/>
          <w:iCs/>
          <w:u w:val="single"/>
        </w:rPr>
      </w:pPr>
      <w:r w:rsidRPr="008C09F8">
        <w:rPr>
          <w:i/>
          <w:iCs/>
          <w:u w:val="single"/>
        </w:rPr>
        <w:t>The testing population</w:t>
      </w:r>
      <w:r w:rsidR="008C63E0">
        <w:rPr>
          <w:i/>
          <w:iCs/>
          <w:u w:val="single"/>
        </w:rPr>
        <w:t>s</w:t>
      </w:r>
    </w:p>
    <w:p w14:paraId="0BA13D78" w14:textId="7F084AE1" w:rsidR="00D54AF5" w:rsidRPr="00EF60B2" w:rsidRDefault="00D54AF5" w:rsidP="00D54AF5">
      <w:pPr>
        <w:rPr>
          <w:i/>
          <w:iCs/>
        </w:rPr>
      </w:pPr>
      <w:r w:rsidRPr="00EF60B2">
        <w:rPr>
          <w:i/>
          <w:iCs/>
        </w:rPr>
        <w:t xml:space="preserve">PASC advised that the population is people with a &gt;10% risk of being a heterozygous genetic carrier of gene variants responsible for nine severe monogenic and X-linked conditions: TSD, CD, FD, MLD, GSD1, FA, GD, NPD and BS. PASC noted that MBS funding for testing this new gene panel will provide additive benefits to genetic screening for X-linked and autosomal recessive genes responsible for SMA, CF, and FXS— </w:t>
      </w:r>
      <w:r w:rsidR="00020846" w:rsidRPr="00EF60B2">
        <w:rPr>
          <w:i/>
          <w:iCs/>
        </w:rPr>
        <w:t>supported</w:t>
      </w:r>
      <w:r w:rsidRPr="00EF60B2">
        <w:rPr>
          <w:i/>
          <w:iCs/>
        </w:rPr>
        <w:t xml:space="preserve"> in recent MSAC application 1573.</w:t>
      </w:r>
    </w:p>
    <w:p w14:paraId="00751B2A" w14:textId="207C18DB" w:rsidR="00C30F0A" w:rsidRPr="00EF60B2" w:rsidRDefault="00C30F0A" w:rsidP="00D54AF5">
      <w:pPr>
        <w:rPr>
          <w:i/>
          <w:iCs/>
        </w:rPr>
      </w:pPr>
      <w:r w:rsidRPr="00EF60B2">
        <w:rPr>
          <w:i/>
          <w:iCs/>
        </w:rPr>
        <w:t>PASC considered further work was needed to define the population</w:t>
      </w:r>
      <w:r w:rsidR="009F69B3" w:rsidRPr="00EF60B2">
        <w:rPr>
          <w:i/>
          <w:iCs/>
        </w:rPr>
        <w:t>s</w:t>
      </w:r>
      <w:r w:rsidRPr="00EF60B2">
        <w:rPr>
          <w:i/>
          <w:iCs/>
        </w:rPr>
        <w:t xml:space="preserve">. A post-PASC meeting was held between the applicant and the Department, where the applicant agreed this application is to be restricted to the Ashkenazi Jewish population (though other ethnicities </w:t>
      </w:r>
      <w:r w:rsidR="00B26526" w:rsidRPr="00EF60B2">
        <w:rPr>
          <w:i/>
          <w:iCs/>
        </w:rPr>
        <w:t xml:space="preserve">that confer a &gt;10% personal risk of being a carrier for specific gene variants </w:t>
      </w:r>
      <w:r w:rsidRPr="00EF60B2">
        <w:rPr>
          <w:i/>
          <w:iCs/>
        </w:rPr>
        <w:t>may be the subject of future applications).</w:t>
      </w:r>
    </w:p>
    <w:p w14:paraId="43BFE375" w14:textId="72020F98" w:rsidR="00D54AF5" w:rsidRPr="00EF60B2" w:rsidRDefault="00D54AF5" w:rsidP="00D54AF5">
      <w:pPr>
        <w:rPr>
          <w:i/>
          <w:iCs/>
        </w:rPr>
      </w:pPr>
      <w:r w:rsidRPr="00EF60B2">
        <w:rPr>
          <w:i/>
          <w:iCs/>
        </w:rPr>
        <w:t>PASC agreed that the population</w:t>
      </w:r>
      <w:r w:rsidR="001B0EF2" w:rsidRPr="00EF60B2">
        <w:rPr>
          <w:i/>
          <w:iCs/>
        </w:rPr>
        <w:t>s</w:t>
      </w:r>
      <w:r w:rsidRPr="00EF60B2">
        <w:rPr>
          <w:i/>
          <w:iCs/>
        </w:rPr>
        <w:t xml:space="preserve"> who qualify for testing should consist of:</w:t>
      </w:r>
    </w:p>
    <w:p w14:paraId="3385E88E" w14:textId="610EAB56" w:rsidR="00D54AF5" w:rsidRPr="00EF60B2" w:rsidRDefault="00D54AF5" w:rsidP="00D54AF5">
      <w:pPr>
        <w:pStyle w:val="ListParagraph"/>
        <w:numPr>
          <w:ilvl w:val="0"/>
          <w:numId w:val="66"/>
        </w:numPr>
        <w:rPr>
          <w:i/>
          <w:iCs/>
        </w:rPr>
      </w:pPr>
      <w:r w:rsidRPr="00EF60B2">
        <w:rPr>
          <w:i/>
          <w:iCs/>
        </w:rPr>
        <w:t xml:space="preserve">Asymptomatic individuals with a &gt;10% a priori aggregate personal risk of being a heterozygous genetic carrier for variants in the following autosomal recessive and X-linked genes: </w:t>
      </w:r>
      <w:r w:rsidRPr="003F3832">
        <w:t>HEXA, ASPA, ELP1, MCOLN1, G6PC1</w:t>
      </w:r>
      <w:r w:rsidR="002C0318" w:rsidRPr="003F3832">
        <w:t>,</w:t>
      </w:r>
      <w:r w:rsidRPr="003F3832">
        <w:t xml:space="preserve"> SLC37A4, FANCA, FANCC, FANCG, GBA, SMPD1, BLM</w:t>
      </w:r>
      <w:r w:rsidR="002C0318" w:rsidRPr="00EF60B2">
        <w:rPr>
          <w:i/>
          <w:iCs/>
        </w:rPr>
        <w:t>.</w:t>
      </w:r>
    </w:p>
    <w:p w14:paraId="33375C63" w14:textId="7141721C" w:rsidR="00D54AF5" w:rsidRPr="00EF60B2" w:rsidRDefault="007757A7" w:rsidP="00D54AF5">
      <w:pPr>
        <w:pStyle w:val="ListParagraph"/>
        <w:numPr>
          <w:ilvl w:val="0"/>
          <w:numId w:val="66"/>
        </w:numPr>
        <w:rPr>
          <w:i/>
          <w:iCs/>
        </w:rPr>
      </w:pPr>
      <w:r w:rsidRPr="00EF60B2">
        <w:rPr>
          <w:rFonts w:asciiTheme="minorHAnsi" w:hAnsiTheme="minorHAnsi" w:cstheme="minorHAnsi"/>
          <w:i/>
          <w:iCs/>
        </w:rPr>
        <w:t xml:space="preserve">Reproductive partners of individuals described in population 1, where either partner is </w:t>
      </w:r>
      <w:r w:rsidRPr="00EF60B2">
        <w:rPr>
          <w:i/>
          <w:iCs/>
        </w:rPr>
        <w:t>i</w:t>
      </w:r>
      <w:r w:rsidR="00D54AF5" w:rsidRPr="00EF60B2">
        <w:rPr>
          <w:i/>
          <w:iCs/>
        </w:rPr>
        <w:t>n the first trimester of pregnancy.</w:t>
      </w:r>
    </w:p>
    <w:p w14:paraId="6DE022C5" w14:textId="7C2D8688" w:rsidR="00D54AF5" w:rsidRPr="00EF60B2" w:rsidRDefault="00D54AF5" w:rsidP="00D54AF5">
      <w:pPr>
        <w:pStyle w:val="ListParagraph"/>
        <w:numPr>
          <w:ilvl w:val="0"/>
          <w:numId w:val="66"/>
        </w:numPr>
        <w:rPr>
          <w:i/>
          <w:iCs/>
        </w:rPr>
      </w:pPr>
      <w:r w:rsidRPr="00EF60B2">
        <w:rPr>
          <w:i/>
          <w:iCs/>
        </w:rPr>
        <w:t>Reproductive partners of individuals described in population 1, where carrier status of an autosomal recessive condition associated with pathogenic or likely pathogenic variants of the genes described in (1) has been confirmed.</w:t>
      </w:r>
    </w:p>
    <w:p w14:paraId="4AA2D37B" w14:textId="7EDB367C" w:rsidR="00D54AF5" w:rsidRPr="00EF60B2" w:rsidRDefault="00D54AF5" w:rsidP="00D54AF5">
      <w:pPr>
        <w:pStyle w:val="ListParagraph"/>
        <w:numPr>
          <w:ilvl w:val="0"/>
          <w:numId w:val="66"/>
        </w:numPr>
        <w:rPr>
          <w:i/>
          <w:iCs/>
        </w:rPr>
      </w:pPr>
      <w:r w:rsidRPr="00EF60B2">
        <w:rPr>
          <w:i/>
          <w:iCs/>
        </w:rPr>
        <w:t xml:space="preserve">First trimester diagnostic testing of the potentially affected singleton </w:t>
      </w:r>
      <w:proofErr w:type="spellStart"/>
      <w:r w:rsidRPr="00EF60B2">
        <w:rPr>
          <w:i/>
          <w:iCs/>
        </w:rPr>
        <w:t>fetus</w:t>
      </w:r>
      <w:proofErr w:type="spellEnd"/>
      <w:r w:rsidRPr="00EF60B2">
        <w:rPr>
          <w:i/>
          <w:iCs/>
        </w:rPr>
        <w:t xml:space="preserve"> in a couple identified from any of (1), (2) and (3) as both being carriers of</w:t>
      </w:r>
      <w:r w:rsidR="003B0ABB">
        <w:rPr>
          <w:i/>
          <w:iCs/>
        </w:rPr>
        <w:t xml:space="preserve"> </w:t>
      </w:r>
      <w:r w:rsidRPr="00EF60B2">
        <w:rPr>
          <w:i/>
          <w:iCs/>
        </w:rPr>
        <w:t>autosomal condition, or one partner is a carrier of an X-linked condition, associated with pathogenic or likely pathogenic variants of the genes described in (1)</w:t>
      </w:r>
      <w:r w:rsidR="009D3EFA">
        <w:rPr>
          <w:i/>
          <w:iCs/>
        </w:rPr>
        <w:t>.</w:t>
      </w:r>
    </w:p>
    <w:p w14:paraId="7A9A7E96" w14:textId="2D91B669" w:rsidR="00C30F0A" w:rsidRPr="004D6E95" w:rsidRDefault="00D54AF5" w:rsidP="00863D62">
      <w:pPr>
        <w:pStyle w:val="ListParagraph"/>
        <w:numPr>
          <w:ilvl w:val="0"/>
          <w:numId w:val="66"/>
        </w:numPr>
        <w:rPr>
          <w:i/>
          <w:iCs/>
        </w:rPr>
      </w:pPr>
      <w:r w:rsidRPr="00EF60B2">
        <w:rPr>
          <w:i/>
          <w:iCs/>
        </w:rPr>
        <w:t>Cascade testing of first-degree relative of an individual found to be a carrier of an autosomal recessive or X-linked condition as described in (1)</w:t>
      </w:r>
      <w:r w:rsidR="007757A7" w:rsidRPr="00EF60B2">
        <w:rPr>
          <w:i/>
          <w:iCs/>
        </w:rPr>
        <w:t xml:space="preserve">. However, at the post-PASC meeting, the applicant agreed that a separate population/item for the cascade testing of FDRs is not needed as </w:t>
      </w:r>
      <w:r w:rsidR="009F69B3" w:rsidRPr="00EF60B2">
        <w:rPr>
          <w:i/>
          <w:iCs/>
        </w:rPr>
        <w:t xml:space="preserve">by definition </w:t>
      </w:r>
      <w:r w:rsidR="007757A7" w:rsidRPr="00EF60B2">
        <w:rPr>
          <w:i/>
          <w:iCs/>
        </w:rPr>
        <w:t xml:space="preserve">this population have &gt;10% personal risk </w:t>
      </w:r>
      <w:r w:rsidR="009F69B3" w:rsidRPr="00EF60B2">
        <w:rPr>
          <w:i/>
          <w:iCs/>
        </w:rPr>
        <w:t xml:space="preserve">of being a carrier </w:t>
      </w:r>
      <w:r w:rsidR="007757A7" w:rsidRPr="00EF60B2">
        <w:rPr>
          <w:i/>
          <w:iCs/>
        </w:rPr>
        <w:t>and so are already captured under population 1.</w:t>
      </w:r>
    </w:p>
    <w:p w14:paraId="66003945" w14:textId="2E161D62" w:rsidR="00666B40" w:rsidRDefault="00666B40" w:rsidP="00666B40">
      <w:r w:rsidRPr="00923DBD">
        <w:t>Preconception genetic testing is preferable to antenatal testing</w:t>
      </w:r>
      <w:r w:rsidR="004306C0">
        <w:t xml:space="preserve"> </w:t>
      </w:r>
      <w:proofErr w:type="gramStart"/>
      <w:r w:rsidR="004306C0">
        <w:t>in order to</w:t>
      </w:r>
      <w:proofErr w:type="gramEnd"/>
      <w:r w:rsidR="004306C0">
        <w:t xml:space="preserve"> provide greater </w:t>
      </w:r>
      <w:r w:rsidR="00A16B90">
        <w:t xml:space="preserve">reproductive </w:t>
      </w:r>
      <w:r w:rsidR="007E158B">
        <w:t xml:space="preserve">decision </w:t>
      </w:r>
      <w:r w:rsidR="00A16B90">
        <w:t>options</w:t>
      </w:r>
      <w:r w:rsidR="004306C0">
        <w:t xml:space="preserve"> to potential parents</w:t>
      </w:r>
      <w:r w:rsidR="00B22205">
        <w:t xml:space="preserve">. </w:t>
      </w:r>
      <w:r w:rsidR="00E90162" w:rsidRPr="00923DBD">
        <w:t>However</w:t>
      </w:r>
      <w:r w:rsidRPr="00923DBD">
        <w:t>, if testing takes place during pregnancy</w:t>
      </w:r>
      <w:bookmarkStart w:id="3" w:name="_Hlk81241848"/>
      <w:r w:rsidRPr="00923DBD">
        <w:t xml:space="preserve">, </w:t>
      </w:r>
      <w:r w:rsidR="004306C0">
        <w:t xml:space="preserve">carrier </w:t>
      </w:r>
      <w:r w:rsidRPr="00923DBD">
        <w:t xml:space="preserve">testing of both parents </w:t>
      </w:r>
      <w:r w:rsidR="007E158B">
        <w:t xml:space="preserve">should occur </w:t>
      </w:r>
      <w:r w:rsidRPr="00923DBD">
        <w:t>concurrently without delay</w:t>
      </w:r>
      <w:r w:rsidR="00F84B1C">
        <w:t xml:space="preserve"> </w:t>
      </w:r>
      <w:bookmarkEnd w:id="3"/>
      <w:proofErr w:type="gramStart"/>
      <w:r w:rsidR="00BB78F7">
        <w:t>in order to</w:t>
      </w:r>
      <w:proofErr w:type="gramEnd"/>
      <w:r w:rsidR="00BB78F7">
        <w:t xml:space="preserve"> provide the maximum time to consider the test results</w:t>
      </w:r>
      <w:r w:rsidRPr="00923DBD">
        <w:t xml:space="preserve">. Published studies have demonstrated successful health outcomes </w:t>
      </w:r>
      <w:r w:rsidR="006659F6">
        <w:t xml:space="preserve">such as fewer than </w:t>
      </w:r>
      <w:r w:rsidR="006659F6">
        <w:lastRenderedPageBreak/>
        <w:t>expected TSD cases, and significant decrease in the number of TSD-affected children born to parents previously tested</w:t>
      </w:r>
      <w:r w:rsidR="00F84B1C">
        <w:t xml:space="preserve"> </w:t>
      </w:r>
      <w:r w:rsidRPr="00923DBD">
        <w:t>by a combination of high school genetic testing programs, outreach community programs, opportunistic testing by medical practitioners and preconception testing</w:t>
      </w:r>
      <w:r w:rsidR="00E96718">
        <w:t xml:space="preserve"> </w:t>
      </w:r>
      <w:r w:rsidR="006659F6">
        <w:fldChar w:fldCharType="begin">
          <w:fldData xml:space="preserve">PEVuZE5vdGU+PENpdGU+PEF1dGhvcj5MZXc8L0F1dGhvcj48WWVhcj4yMDEyPC9ZZWFyPjxSZWNO
dW0+MjQ8L1JlY051bT48RGlzcGxheVRleHQ+KExldyBldCBhbC4sIDIwMTIpPC9EaXNwbGF5VGV4
dD48cmVjb3JkPjxyZWMtbnVtYmVyPjI0PC9yZWMtbnVtYmVyPjxmb3JlaWduLWtleXM+PGtleSBh
cHA9IkVOIiBkYi1pZD0idHZkMngyYWVwcnA5MHRlMjJlb3g5dHZ4ZmUyYTB4djB0ZGZzIiB0aW1l
c3RhbXA9IjE2MjMzNzMxNTgiPjI0PC9rZXk+PC9mb3JlaWduLWtleXM+PHJlZi10eXBlIG5hbWU9
IkpvdXJuYWwgQXJ0aWNsZSI+MTc8L3JlZi10eXBlPjxjb250cmlidXRvcnM+PGF1dGhvcnM+PGF1
dGhvcj5MZXcsIFIuIE0uPC9hdXRob3I+PGF1dGhvcj5Qcm9vcywgQS4gTC48L2F1dGhvcj48YXV0
aG9yPkJ1cm5ldHQsIEwuPC9hdXRob3I+PGF1dGhvcj5EZWxhdHlja2ksIE0uPC9hdXRob3I+PGF1
dGhvcj5CYW5raWVyLCBBLjwvYXV0aG9yPjxhdXRob3I+RmlldHosIE0uIEouPC9hdXRob3I+PC9h
dXRob3JzPjwvY29udHJpYnV0b3JzPjxhdXRoLWFkZHJlc3M+RGVwYXJ0bWVudCBvZiBPYnN0ZXRy
aWNzLCBHeW5hZWNvbG9neSBhbmQgTmVvbmF0b2xvZ3ksIFVuaXZlcnNpdHkgb2YgU3lkbmV5LCBh
bmQgUGFjaWZpYyBMYWJvcmF0b3J5IE1lZGljaW5lIFNlcnZpY2VzLCBQYXRob2xvZ3kgTm9ydGgs
IE5TVyBIZWFsdGggUGF0aG9sb2d5LCBSb3lhbCBOb3J0aCBTaG9yZSBIb3NwaXRhbCwgU3lkbmV5
LCBOU1csIEF1c3RyYWxpYS4gcmxldzIwNjRAdW5pLnN5ZG5leS5lZHUuYXU8L2F1dGgtYWRkcmVz
cz48dGl0bGVzPjx0aXRsZT5UYXkgU2FjaHMgZGlzZWFzZSBpbiBBdXN0cmFsaWE6IHJlZHVjZWQg
ZGlzZWFzZSBpbmNpZGVuY2UgZGVzcGl0ZSBzdGFibGUgY2FycmllciBmcmVxdWVuY3kgaW4gQXVz
dHJhbGlhbiBKZXdzPC90aXRsZT48c2Vjb25kYXJ5LXRpdGxlPk1lZCBKIEF1c3Q8L3NlY29uZGFy
eS10aXRsZT48L3RpdGxlcz48cGVyaW9kaWNhbD48ZnVsbC10aXRsZT5NZWQgSiBBdXN0PC9mdWxs
LXRpdGxlPjwvcGVyaW9kaWNhbD48cGFnZXM+NjUyLTQ8L3BhZ2VzPjx2b2x1bWU+MTk3PC92b2x1
bWU+PG51bWJlcj4xMTwvbnVtYmVyPjxlZGl0aW9uPjIwMTIvMTIvMTM8L2VkaXRpb24+PGtleXdv
cmRzPjxrZXl3b3JkPkFkb2xlc2NlbnQ8L2tleXdvcmQ+PGtleXdvcmQ+QWR1bHQ8L2tleXdvcmQ+
PGtleXdvcmQ+QXVzdHJhbGlhL2VwaWRlbWlvbG9neTwva2V5d29yZD48a2V5d29yZD5GZW1hbGU8
L2tleXdvcmQ+PGtleXdvcmQ+R2VuZXRpYyBDYXJyaWVyIFNjcmVlbmluZzwva2V5d29yZD48a2V5
d29yZD5HZW5ldGljIFRlc3Rpbmc8L2tleXdvcmQ+PGtleXdvcmQ+KkhldGVyb3p5Z290ZTwva2V5
d29yZD48a2V5d29yZD5IdW1hbnM8L2tleXdvcmQ+PGtleXdvcmQ+SW5jaWRlbmNlPC9rZXl3b3Jk
PjxrZXl3b3JkPkpld3MvKmdlbmV0aWNzPC9rZXl3b3JkPjxrZXl3b3JkPlByZWNvbmNlcHRpb24g
Q2FyZTwva2V5d29yZD48a2V5d29yZD5QcmVnbmFuY3k8L2tleXdvcmQ+PGtleXdvcmQ+UHJlbmF0
YWwgRGlhZ25vc2lzPC9rZXl3b3JkPjxrZXl3b3JkPlJldHJvc3BlY3RpdmUgU3R1ZGllczwva2V5
d29yZD48a2V5d29yZD5TY2hvb2xzPC9rZXl3b3JkPjxrZXl3b3JkPlN1cnZleXMgYW5kIFF1ZXN0
aW9ubmFpcmVzPC9rZXl3b3JkPjxrZXl3b3JkPlRheS1TYWNocyBEaXNlYXNlLypkaWFnbm9zaXMv
KmVwaWRlbWlvbG9neS9nZW5ldGljczwva2V5d29yZD48a2V5d29yZD5Zb3VuZyBBZHVsdDwva2V5
d29yZD48L2tleXdvcmRzPjxkYXRlcz48eWVhcj4yMDEyPC95ZWFyPjxwdWItZGF0ZXM+PGRhdGU+
RGVjIDEwPC9kYXRlPjwvcHViLWRhdGVzPjwvZGF0ZXM+PGlzYm4+MDAyNS03Mjl4PC9pc2JuPjxh
Y2Nlc3Npb24tbnVtPjIzMjMwOTM4PC9hY2Nlc3Npb24tbnVtPjx1cmxzPjxyZWxhdGVkLXVybHM+
PHVybD5odHRwczovL29ubGluZWxpYnJhcnkud2lsZXkuY29tL2RvaS9hYnMvMTAuNTY5NC9tamEx
Mi4xMTAxMDwvdXJsPjwvcmVsYXRlZC11cmxzPjwvdXJscz48ZWxlY3Ryb25pYy1yZXNvdXJjZS1u
dW0+MTAuNTY5NC9tamExMi4xMTAxMDwvZWxlY3Ryb25pYy1yZXNvdXJjZS1udW0+PHJlbW90ZS1k
YXRhYmFzZS1wcm92aWRlcj5OTE08L3JlbW90ZS1kYXRhYmFzZS1wcm92aWRlcj48bGFuZ3VhZ2U+
ZW5nPC9sYW5ndWFnZT48L3JlY29yZD48L0NpdGU+PC9FbmROb3RlPn==
</w:fldData>
        </w:fldChar>
      </w:r>
      <w:r w:rsidR="006659F6">
        <w:instrText xml:space="preserve"> ADDIN EN.CITE </w:instrText>
      </w:r>
      <w:r w:rsidR="006659F6">
        <w:fldChar w:fldCharType="begin">
          <w:fldData xml:space="preserve">PEVuZE5vdGU+PENpdGU+PEF1dGhvcj5MZXc8L0F1dGhvcj48WWVhcj4yMDEyPC9ZZWFyPjxSZWNO
dW0+MjQ8L1JlY051bT48RGlzcGxheVRleHQ+KExldyBldCBhbC4sIDIwMTIpPC9EaXNwbGF5VGV4
dD48cmVjb3JkPjxyZWMtbnVtYmVyPjI0PC9yZWMtbnVtYmVyPjxmb3JlaWduLWtleXM+PGtleSBh
cHA9IkVOIiBkYi1pZD0idHZkMngyYWVwcnA5MHRlMjJlb3g5dHZ4ZmUyYTB4djB0ZGZzIiB0aW1l
c3RhbXA9IjE2MjMzNzMxNTgiPjI0PC9rZXk+PC9mb3JlaWduLWtleXM+PHJlZi10eXBlIG5hbWU9
IkpvdXJuYWwgQXJ0aWNsZSI+MTc8L3JlZi10eXBlPjxjb250cmlidXRvcnM+PGF1dGhvcnM+PGF1
dGhvcj5MZXcsIFIuIE0uPC9hdXRob3I+PGF1dGhvcj5Qcm9vcywgQS4gTC48L2F1dGhvcj48YXV0
aG9yPkJ1cm5ldHQsIEwuPC9hdXRob3I+PGF1dGhvcj5EZWxhdHlja2ksIE0uPC9hdXRob3I+PGF1
dGhvcj5CYW5raWVyLCBBLjwvYXV0aG9yPjxhdXRob3I+RmlldHosIE0uIEouPC9hdXRob3I+PC9h
dXRob3JzPjwvY29udHJpYnV0b3JzPjxhdXRoLWFkZHJlc3M+RGVwYXJ0bWVudCBvZiBPYnN0ZXRy
aWNzLCBHeW5hZWNvbG9neSBhbmQgTmVvbmF0b2xvZ3ksIFVuaXZlcnNpdHkgb2YgU3lkbmV5LCBh
bmQgUGFjaWZpYyBMYWJvcmF0b3J5IE1lZGljaW5lIFNlcnZpY2VzLCBQYXRob2xvZ3kgTm9ydGgs
IE5TVyBIZWFsdGggUGF0aG9sb2d5LCBSb3lhbCBOb3J0aCBTaG9yZSBIb3NwaXRhbCwgU3lkbmV5
LCBOU1csIEF1c3RyYWxpYS4gcmxldzIwNjRAdW5pLnN5ZG5leS5lZHUuYXU8L2F1dGgtYWRkcmVz
cz48dGl0bGVzPjx0aXRsZT5UYXkgU2FjaHMgZGlzZWFzZSBpbiBBdXN0cmFsaWE6IHJlZHVjZWQg
ZGlzZWFzZSBpbmNpZGVuY2UgZGVzcGl0ZSBzdGFibGUgY2FycmllciBmcmVxdWVuY3kgaW4gQXVz
dHJhbGlhbiBKZXdzPC90aXRsZT48c2Vjb25kYXJ5LXRpdGxlPk1lZCBKIEF1c3Q8L3NlY29uZGFy
eS10aXRsZT48L3RpdGxlcz48cGVyaW9kaWNhbD48ZnVsbC10aXRsZT5NZWQgSiBBdXN0PC9mdWxs
LXRpdGxlPjwvcGVyaW9kaWNhbD48cGFnZXM+NjUyLTQ8L3BhZ2VzPjx2b2x1bWU+MTk3PC92b2x1
bWU+PG51bWJlcj4xMTwvbnVtYmVyPjxlZGl0aW9uPjIwMTIvMTIvMTM8L2VkaXRpb24+PGtleXdv
cmRzPjxrZXl3b3JkPkFkb2xlc2NlbnQ8L2tleXdvcmQ+PGtleXdvcmQ+QWR1bHQ8L2tleXdvcmQ+
PGtleXdvcmQ+QXVzdHJhbGlhL2VwaWRlbWlvbG9neTwva2V5d29yZD48a2V5d29yZD5GZW1hbGU8
L2tleXdvcmQ+PGtleXdvcmQ+R2VuZXRpYyBDYXJyaWVyIFNjcmVlbmluZzwva2V5d29yZD48a2V5
d29yZD5HZW5ldGljIFRlc3Rpbmc8L2tleXdvcmQ+PGtleXdvcmQ+KkhldGVyb3p5Z290ZTwva2V5
d29yZD48a2V5d29yZD5IdW1hbnM8L2tleXdvcmQ+PGtleXdvcmQ+SW5jaWRlbmNlPC9rZXl3b3Jk
PjxrZXl3b3JkPkpld3MvKmdlbmV0aWNzPC9rZXl3b3JkPjxrZXl3b3JkPlByZWNvbmNlcHRpb24g
Q2FyZTwva2V5d29yZD48a2V5d29yZD5QcmVnbmFuY3k8L2tleXdvcmQ+PGtleXdvcmQ+UHJlbmF0
YWwgRGlhZ25vc2lzPC9rZXl3b3JkPjxrZXl3b3JkPlJldHJvc3BlY3RpdmUgU3R1ZGllczwva2V5
d29yZD48a2V5d29yZD5TY2hvb2xzPC9rZXl3b3JkPjxrZXl3b3JkPlN1cnZleXMgYW5kIFF1ZXN0
aW9ubmFpcmVzPC9rZXl3b3JkPjxrZXl3b3JkPlRheS1TYWNocyBEaXNlYXNlLypkaWFnbm9zaXMv
KmVwaWRlbWlvbG9neS9nZW5ldGljczwva2V5d29yZD48a2V5d29yZD5Zb3VuZyBBZHVsdDwva2V5
d29yZD48L2tleXdvcmRzPjxkYXRlcz48eWVhcj4yMDEyPC95ZWFyPjxwdWItZGF0ZXM+PGRhdGU+
RGVjIDEwPC9kYXRlPjwvcHViLWRhdGVzPjwvZGF0ZXM+PGlzYm4+MDAyNS03Mjl4PC9pc2JuPjxh
Y2Nlc3Npb24tbnVtPjIzMjMwOTM4PC9hY2Nlc3Npb24tbnVtPjx1cmxzPjxyZWxhdGVkLXVybHM+
PHVybD5odHRwczovL29ubGluZWxpYnJhcnkud2lsZXkuY29tL2RvaS9hYnMvMTAuNTY5NC9tamEx
Mi4xMTAxMDwvdXJsPjwvcmVsYXRlZC11cmxzPjwvdXJscz48ZWxlY3Ryb25pYy1yZXNvdXJjZS1u
dW0+MTAuNTY5NC9tamExMi4xMTAxMDwvZWxlY3Ryb25pYy1yZXNvdXJjZS1udW0+PHJlbW90ZS1k
YXRhYmFzZS1wcm92aWRlcj5OTE08L3JlbW90ZS1kYXRhYmFzZS1wcm92aWRlcj48bGFuZ3VhZ2U+
ZW5nPC9sYW5ndWFnZT48L3JlY29yZD48L0NpdGU+PC9FbmROb3RlPn==
</w:fldData>
        </w:fldChar>
      </w:r>
      <w:r w:rsidR="006659F6">
        <w:instrText xml:space="preserve"> ADDIN EN.CITE.DATA </w:instrText>
      </w:r>
      <w:r w:rsidR="006659F6">
        <w:fldChar w:fldCharType="end"/>
      </w:r>
      <w:r w:rsidR="006659F6">
        <w:fldChar w:fldCharType="separate"/>
      </w:r>
      <w:r w:rsidR="006659F6">
        <w:rPr>
          <w:noProof/>
        </w:rPr>
        <w:t>(Lew et al., 2012)</w:t>
      </w:r>
      <w:r w:rsidR="006659F6">
        <w:fldChar w:fldCharType="end"/>
      </w:r>
      <w:r w:rsidRPr="00923DBD">
        <w:t>.</w:t>
      </w:r>
    </w:p>
    <w:p w14:paraId="56F71F21" w14:textId="77777777" w:rsidR="002844D5" w:rsidRDefault="007757A7" w:rsidP="00907004">
      <w:pPr>
        <w:rPr>
          <w:rFonts w:asciiTheme="minorHAnsi" w:hAnsiTheme="minorHAnsi" w:cstheme="minorHAnsi"/>
          <w:i/>
        </w:rPr>
      </w:pPr>
      <w:r w:rsidRPr="00E32EFA">
        <w:rPr>
          <w:i/>
          <w:iCs/>
        </w:rPr>
        <w:t xml:space="preserve">PASC considered the merits of limiting the population to individuals of reproductive age or to individuals planning reproduction. PASC considered that this restriction would lead to fewer counselling events downstream, and may prove to be more cost-effective, and/or avoid anxiety in </w:t>
      </w:r>
      <w:r w:rsidR="0020327D" w:rsidRPr="00E32EFA">
        <w:rPr>
          <w:i/>
          <w:iCs/>
        </w:rPr>
        <w:t>individuals</w:t>
      </w:r>
      <w:r w:rsidRPr="00E32EFA">
        <w:rPr>
          <w:i/>
          <w:iCs/>
        </w:rPr>
        <w:t xml:space="preserve"> not planning a pregnancy. However, such testing among Ashkenazi Jews in the past has been proven to be successful in identifying the carriers and avoiding births of children with these severe diseases, and the applicant stated that testing reduces anxiety. </w:t>
      </w:r>
      <w:r w:rsidR="00E32EFA" w:rsidRPr="00D54AF5">
        <w:rPr>
          <w:rFonts w:asciiTheme="minorHAnsi" w:hAnsiTheme="minorHAnsi" w:cstheme="minorHAnsi"/>
          <w:i/>
        </w:rPr>
        <w:t>PASC suggested the applicant should revisit this issue out of session.</w:t>
      </w:r>
    </w:p>
    <w:p w14:paraId="439D41BA" w14:textId="0B3A4F0B" w:rsidR="00AB7B49" w:rsidRPr="00907004" w:rsidRDefault="00E32EFA" w:rsidP="00907004">
      <w:r w:rsidRPr="007757A7">
        <w:rPr>
          <w:rFonts w:asciiTheme="minorHAnsi" w:hAnsiTheme="minorHAnsi" w:cstheme="minorHAnsi"/>
          <w:i/>
        </w:rPr>
        <w:t xml:space="preserve">At the post-PASC meeting, the applicant </w:t>
      </w:r>
      <w:r>
        <w:rPr>
          <w:rFonts w:asciiTheme="minorHAnsi" w:hAnsiTheme="minorHAnsi" w:cstheme="minorHAnsi"/>
          <w:i/>
        </w:rPr>
        <w:t xml:space="preserve">stated </w:t>
      </w:r>
      <w:r w:rsidRPr="00E32EFA">
        <w:rPr>
          <w:rFonts w:asciiTheme="minorHAnsi" w:hAnsiTheme="minorHAnsi"/>
          <w:i/>
          <w:iCs/>
        </w:rPr>
        <w:t xml:space="preserve">it remains supportive of testing long in advance of reproductive decision-making, though acknowledged that the items are more likely to be utilised at the point of conception or in early pregnancy. The applicant requested </w:t>
      </w:r>
      <w:r w:rsidRPr="007757A7">
        <w:rPr>
          <w:rFonts w:asciiTheme="minorHAnsi" w:hAnsiTheme="minorHAnsi" w:cstheme="minorHAnsi"/>
          <w:i/>
        </w:rPr>
        <w:t>the DCAR examine both options for the timing of testing</w:t>
      </w:r>
      <w:r>
        <w:rPr>
          <w:rFonts w:asciiTheme="minorHAnsi" w:hAnsiTheme="minorHAnsi" w:cstheme="minorHAnsi"/>
          <w:i/>
        </w:rPr>
        <w:t>.</w:t>
      </w:r>
    </w:p>
    <w:p w14:paraId="606A3857" w14:textId="2846EA75" w:rsidR="00666B40" w:rsidRDefault="00666B40" w:rsidP="00666B40">
      <w:pPr>
        <w:ind w:left="52"/>
      </w:pPr>
      <w:r>
        <w:rPr>
          <w:i/>
          <w:iCs/>
          <w:u w:val="single"/>
        </w:rPr>
        <w:t xml:space="preserve">Population with the genetic variants </w:t>
      </w:r>
    </w:p>
    <w:p w14:paraId="7166A24C" w14:textId="3AC640BD" w:rsidR="008C09F8" w:rsidRDefault="00B538B5" w:rsidP="00BC1BCD">
      <w:pPr>
        <w:keepNext/>
      </w:pPr>
      <w:r>
        <w:t xml:space="preserve">This </w:t>
      </w:r>
      <w:r w:rsidR="007757A7">
        <w:t xml:space="preserve">application </w:t>
      </w:r>
      <w:r>
        <w:t xml:space="preserve">will </w:t>
      </w:r>
      <w:r w:rsidR="007757A7">
        <w:t>address</w:t>
      </w:r>
      <w:r w:rsidR="00871FD9">
        <w:t xml:space="preserve"> </w:t>
      </w:r>
      <w:r>
        <w:t>the Ashkenazi Jewish population</w:t>
      </w:r>
      <w:r w:rsidR="00C8457A">
        <w:t>,</w:t>
      </w:r>
      <w:r>
        <w:t xml:space="preserve"> as </w:t>
      </w:r>
      <w:r w:rsidR="00082858">
        <w:t>this population is</w:t>
      </w:r>
      <w:r w:rsidR="00666B40">
        <w:t xml:space="preserve"> </w:t>
      </w:r>
      <w:r w:rsidR="008C09F8">
        <w:t>likely to benefit from genetic carrier testing.</w:t>
      </w:r>
      <w:r w:rsidR="00E90162">
        <w:t xml:space="preserve"> </w:t>
      </w:r>
      <w:r w:rsidR="00C64757">
        <w:t>To</w:t>
      </w:r>
      <w:r w:rsidR="007C1E20">
        <w:t xml:space="preserve"> </w:t>
      </w:r>
      <w:r w:rsidR="00666B40">
        <w:t>date, the</w:t>
      </w:r>
      <w:r w:rsidR="00C8457A">
        <w:t>re is a considerable volume of</w:t>
      </w:r>
      <w:r w:rsidR="00666B40">
        <w:t xml:space="preserve"> clinical literature describ</w:t>
      </w:r>
      <w:r w:rsidR="00C8457A">
        <w:t>ing</w:t>
      </w:r>
      <w:r w:rsidR="00666B40">
        <w:t xml:space="preserve"> genetic testing for autosomal recessive genetic variants in the Ashkenazi Jewish</w:t>
      </w:r>
      <w:r w:rsidR="00666B40" w:rsidRPr="003A3B88">
        <w:t xml:space="preserve"> population</w:t>
      </w:r>
      <w:r w:rsidR="00666B40">
        <w:t xml:space="preserve">. </w:t>
      </w:r>
      <w:r w:rsidR="008C09F8">
        <w:fldChar w:fldCharType="begin"/>
      </w:r>
      <w:r w:rsidR="008C09F8">
        <w:instrText xml:space="preserve"> REF _Ref76134044 \h </w:instrText>
      </w:r>
      <w:r w:rsidR="008C09F8">
        <w:fldChar w:fldCharType="separate"/>
      </w:r>
      <w:r w:rsidR="00E1397A">
        <w:t xml:space="preserve">Table </w:t>
      </w:r>
      <w:r w:rsidR="00E1397A">
        <w:rPr>
          <w:noProof/>
        </w:rPr>
        <w:t>2</w:t>
      </w:r>
      <w:r w:rsidR="008C09F8">
        <w:fldChar w:fldCharType="end"/>
      </w:r>
      <w:r w:rsidR="008C09F8">
        <w:t xml:space="preserve"> </w:t>
      </w:r>
      <w:r w:rsidR="008C09F8" w:rsidRPr="00105D9D">
        <w:t>describes the</w:t>
      </w:r>
      <w:r w:rsidR="008C09F8">
        <w:t xml:space="preserve"> estimated carrier frequencies and clinical features of the disorders commonly found among the Ashkenazi Jewish populations.</w:t>
      </w:r>
      <w:bookmarkStart w:id="4" w:name="_Hlk81243136"/>
    </w:p>
    <w:bookmarkEnd w:id="4"/>
    <w:p w14:paraId="2F8CE052" w14:textId="272EE384" w:rsidR="008C09F8" w:rsidRDefault="008C09F8" w:rsidP="008C09F8">
      <w:r>
        <w:t>In 2016, Australia’s total Jewish population was estimated to be 117,903, with the majority identifying as Ashkenazi Jews</w:t>
      </w:r>
      <w:r w:rsidR="006E4B60">
        <w:t xml:space="preserve"> </w:t>
      </w:r>
      <w:r>
        <w:fldChar w:fldCharType="begin"/>
      </w:r>
      <w:r>
        <w:instrText xml:space="preserve"> ADDIN EN.CITE &lt;EndNote&gt;&lt;Cite&gt;&lt;Author&gt;Graham&lt;/Author&gt;&lt;Year&gt;2019&lt;/Year&gt;&lt;RecNum&gt;71&lt;/RecNum&gt;&lt;DisplayText&gt;(Graham &amp;amp; Narunsky, 2019)&lt;/DisplayText&gt;&lt;record&gt;&lt;rec-number&gt;71&lt;/rec-number&gt;&lt;foreign-keys&gt;&lt;key app="EN" db-id="tvd2x2aeprp90te22eox9tvxfe2a0xv0tdfs" timestamp="1623373160"&gt;71&lt;/key&gt;&lt;/foreign-keys&gt;&lt;ref-type name="Report"&gt;27&lt;/ref-type&gt;&lt;contributors&gt;&lt;authors&gt;&lt;author&gt;Graham, D.&lt;/author&gt;&lt;author&gt;Narunsky, L.&lt;/author&gt;&lt;/authors&gt;&lt;tertiary-authors&gt;&lt;author&gt;Jewish Community Appeal (JCA)&lt;/author&gt;&lt;/tertiary-authors&gt;&lt;/contributors&gt;&lt;titles&gt;&lt;title&gt;The Jewish population of Australia- Key findings from the 2016 census&lt;/title&gt;&lt;/titles&gt;&lt;dates&gt;&lt;year&gt;2019&lt;/year&gt;&lt;/dates&gt;&lt;pub-location&gt;Sydney, Australia&lt;/pub-location&gt;&lt;publisher&gt;Monash University&amp;apos;s Australian Centre for Jewish Civilisation- Jewish Community Appeal&lt;/publisher&gt;&lt;urls&gt;&lt;related-urls&gt;&lt;url&gt;https://jca.org.au/wp-content/uploads/2020/06/Census-Report-2016-1.1.pdf&lt;/url&gt;&lt;/related-urls&gt;&lt;/urls&gt;&lt;access-date&gt;2 July 2021&lt;/access-date&gt;&lt;/record&gt;&lt;/Cite&gt;&lt;/EndNote&gt;</w:instrText>
      </w:r>
      <w:r>
        <w:fldChar w:fldCharType="separate"/>
      </w:r>
      <w:r>
        <w:rPr>
          <w:noProof/>
        </w:rPr>
        <w:t>(Graham &amp; Narunsky, 2019)</w:t>
      </w:r>
      <w:r>
        <w:fldChar w:fldCharType="end"/>
      </w:r>
      <w:r>
        <w:t xml:space="preserve">. The overwhelming majority of the Australian Ashkenazi Jewish population live in the urban centres of Melbourne and Sydney (83.9%). In the five years between 2011 and 2016, the recorded Jewish population in Australia grew by only one per cent, a sharp decrease in growth compared to 2006-2011, when six per cent growth was recorded </w:t>
      </w:r>
      <w:r>
        <w:fldChar w:fldCharType="begin"/>
      </w:r>
      <w:r>
        <w:instrText xml:space="preserve"> ADDIN EN.CITE &lt;EndNote&gt;&lt;Cite&gt;&lt;Author&gt;Graham&lt;/Author&gt;&lt;Year&gt;2019&lt;/Year&gt;&lt;RecNum&gt;71&lt;/RecNum&gt;&lt;DisplayText&gt;(Graham &amp;amp; Narunsky, 2019)&lt;/DisplayText&gt;&lt;record&gt;&lt;rec-number&gt;71&lt;/rec-number&gt;&lt;foreign-keys&gt;&lt;key app="EN" db-id="tvd2x2aeprp90te22eox9tvxfe2a0xv0tdfs" timestamp="1623373160"&gt;71&lt;/key&gt;&lt;/foreign-keys&gt;&lt;ref-type name="Report"&gt;27&lt;/ref-type&gt;&lt;contributors&gt;&lt;authors&gt;&lt;author&gt;Graham, D.&lt;/author&gt;&lt;author&gt;Narunsky, L.&lt;/author&gt;&lt;/authors&gt;&lt;tertiary-authors&gt;&lt;author&gt;Jewish Community Appeal (JCA)&lt;/author&gt;&lt;/tertiary-authors&gt;&lt;/contributors&gt;&lt;titles&gt;&lt;title&gt;The Jewish population of Australia- Key findings from the 2016 census&lt;/title&gt;&lt;/titles&gt;&lt;dates&gt;&lt;year&gt;2019&lt;/year&gt;&lt;/dates&gt;&lt;pub-location&gt;Sydney, Australia&lt;/pub-location&gt;&lt;publisher&gt;Monash University&amp;apos;s Australian Centre for Jewish Civilisation- Jewish Community Appeal&lt;/publisher&gt;&lt;urls&gt;&lt;related-urls&gt;&lt;url&gt;https://jca.org.au/wp-content/uploads/2020/06/Census-Report-2016-1.1.pdf&lt;/url&gt;&lt;/related-urls&gt;&lt;/urls&gt;&lt;access-date&gt;2 July 2021&lt;/access-date&gt;&lt;/record&gt;&lt;/Cite&gt;&lt;/EndNote&gt;</w:instrText>
      </w:r>
      <w:r>
        <w:fldChar w:fldCharType="separate"/>
      </w:r>
      <w:r>
        <w:rPr>
          <w:noProof/>
        </w:rPr>
        <w:t>(Graham &amp; Narunsky, 2019)</w:t>
      </w:r>
      <w:r>
        <w:fldChar w:fldCharType="end"/>
      </w:r>
      <w:r>
        <w:t>. This might be due to changes in population growth, changes in self-identification as Jewish, or loss of knowledge of Jewish ancestry.</w:t>
      </w:r>
    </w:p>
    <w:p w14:paraId="23793CCE" w14:textId="62AE58B7" w:rsidR="008C09F8" w:rsidRDefault="008C09F8" w:rsidP="008C09F8">
      <w:r>
        <w:t>Overall, more than 80 per cent of Australian Ashkenazi Jewish individuals in the reproductive age group have not had, or no longer have, the opportunity to participate in existing Jewish high school-based screening programs. This is because the school-based program is now only offered in New South Wales (the Victorian program having ceased operation due to financial constraints)</w:t>
      </w:r>
      <w:r w:rsidR="006E4B60">
        <w:t xml:space="preserve"> </w:t>
      </w:r>
      <w:r>
        <w:t xml:space="preserve">in the six schools with the highest numbers of Ashkenazi Jewish student enrolments. In Australian Jewish communities living outside of Melbourne and Sydney, where no high school-based screening programs were conducted, the proportion of unscreened Ashkenazi Jewish individuals of reproductive age is likely to be even higher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w:t>
      </w:r>
    </w:p>
    <w:p w14:paraId="1B66C1E6" w14:textId="01D01003" w:rsidR="008C09F8" w:rsidRDefault="008C09F8" w:rsidP="008C09F8">
      <w:r w:rsidRPr="00551E57">
        <w:t xml:space="preserve">A small number of recessive genetic conditions are responsible for significant morbidity and mortality in the </w:t>
      </w:r>
      <w:r>
        <w:t>Ashkenazi Jewish</w:t>
      </w:r>
      <w:r w:rsidRPr="00551E57">
        <w:t xml:space="preserve"> population</w:t>
      </w:r>
      <w:r>
        <w:t xml:space="preserve">. </w:t>
      </w:r>
      <w:r w:rsidRPr="00551E57">
        <w:t xml:space="preserve">Although </w:t>
      </w:r>
      <w:r>
        <w:t xml:space="preserve">some of these </w:t>
      </w:r>
      <w:r w:rsidRPr="00551E57">
        <w:t xml:space="preserve">conditions </w:t>
      </w:r>
      <w:r>
        <w:t xml:space="preserve">are considered </w:t>
      </w:r>
      <w:r w:rsidRPr="00551E57">
        <w:t xml:space="preserve">rare in </w:t>
      </w:r>
      <w:r w:rsidR="004306C0">
        <w:t xml:space="preserve">the general </w:t>
      </w:r>
      <w:r w:rsidR="007C1E20">
        <w:t xml:space="preserve">Australian </w:t>
      </w:r>
      <w:r w:rsidR="004306C0">
        <w:t>population</w:t>
      </w:r>
      <w:r w:rsidRPr="00551E57">
        <w:t xml:space="preserve">, </w:t>
      </w:r>
      <w:r>
        <w:t>approximately</w:t>
      </w:r>
      <w:r w:rsidRPr="00551E57">
        <w:t xml:space="preserve"> </w:t>
      </w:r>
      <w:r w:rsidR="006E4B60">
        <w:t>one</w:t>
      </w:r>
      <w:r w:rsidR="006E4B60" w:rsidRPr="00551E57">
        <w:t xml:space="preserve"> </w:t>
      </w:r>
      <w:r w:rsidRPr="00551E57">
        <w:t xml:space="preserve">in </w:t>
      </w:r>
      <w:r w:rsidR="006E4B60">
        <w:t>five</w:t>
      </w:r>
      <w:r w:rsidRPr="00551E57">
        <w:t xml:space="preserve"> (20%) </w:t>
      </w:r>
      <w:r>
        <w:t>of Ashkenazi Jewish</w:t>
      </w:r>
      <w:r w:rsidRPr="00551E57">
        <w:t xml:space="preserve"> individuals </w:t>
      </w:r>
      <w:r>
        <w:t>who undergo genetic testing</w:t>
      </w:r>
      <w:r w:rsidRPr="00551E57">
        <w:t xml:space="preserve"> will be carriers for one or more of these conditions</w:t>
      </w:r>
      <w:r>
        <w:t xml:space="preserve">. </w:t>
      </w:r>
      <w:r w:rsidRPr="004E138A">
        <w:t xml:space="preserve">The clinical characteristics, mode of inheritance and prevalence of </w:t>
      </w:r>
      <w:r>
        <w:t xml:space="preserve">the conditions recommended to be tested for </w:t>
      </w:r>
      <w:r w:rsidRPr="004E138A">
        <w:t>are summarised in</w:t>
      </w:r>
      <w:r w:rsidR="000B2FC0">
        <w:t xml:space="preserve"> </w:t>
      </w:r>
      <w:r w:rsidR="000B2FC0">
        <w:fldChar w:fldCharType="begin"/>
      </w:r>
      <w:r w:rsidR="000B2FC0">
        <w:instrText xml:space="preserve"> REF _Ref76134044 \h </w:instrText>
      </w:r>
      <w:r w:rsidR="000B2FC0">
        <w:fldChar w:fldCharType="separate"/>
      </w:r>
      <w:r w:rsidR="000B2FC0">
        <w:t xml:space="preserve">Table </w:t>
      </w:r>
      <w:r w:rsidR="000B2FC0">
        <w:rPr>
          <w:noProof/>
        </w:rPr>
        <w:t>2</w:t>
      </w:r>
      <w:r w:rsidR="000B2FC0">
        <w:fldChar w:fldCharType="end"/>
      </w:r>
      <w:r w:rsidRPr="004E138A">
        <w:t>.</w:t>
      </w:r>
      <w:r w:rsidRPr="00EC1C52">
        <w:t xml:space="preserve"> </w:t>
      </w:r>
      <w:r w:rsidRPr="00BC1BCD">
        <w:t xml:space="preserve">Given the prevalence of these conditions in the Ashkenazi Jewish population, and the current state of the evidence base this application will consider </w:t>
      </w:r>
      <w:r w:rsidR="007757A7">
        <w:t xml:space="preserve">testing of the </w:t>
      </w:r>
      <w:r w:rsidR="00316040" w:rsidRPr="001C3AA1">
        <w:rPr>
          <w:rStyle w:val="Emphasis"/>
          <w:i w:val="0"/>
          <w:iCs w:val="0"/>
        </w:rPr>
        <w:t>genes associated with nine severe monogenic disorders:</w:t>
      </w:r>
      <w:r w:rsidR="00316040" w:rsidRPr="008D4C6A">
        <w:rPr>
          <w:rStyle w:val="Emphasis"/>
        </w:rPr>
        <w:t xml:space="preserve"> </w:t>
      </w:r>
      <w:r w:rsidR="00F71F53" w:rsidRPr="002F1C7A">
        <w:rPr>
          <w:rFonts w:asciiTheme="minorHAnsi" w:hAnsiTheme="minorHAnsi" w:cstheme="minorHAnsi"/>
          <w:iCs/>
        </w:rPr>
        <w:t>TSD, CD, FD, MLD, GSD1, FA, GD, NPD and BS</w:t>
      </w:r>
      <w:r w:rsidRPr="008D4C6A">
        <w:t xml:space="preserve">. It should </w:t>
      </w:r>
      <w:r>
        <w:t xml:space="preserve">be noted that </w:t>
      </w:r>
      <w:r w:rsidRPr="00EC1C52">
        <w:rPr>
          <w:i/>
          <w:iCs/>
        </w:rPr>
        <w:t>CFTR</w:t>
      </w:r>
      <w:r>
        <w:t xml:space="preserve"> and </w:t>
      </w:r>
      <w:r w:rsidRPr="00EC1C52">
        <w:rPr>
          <w:i/>
          <w:iCs/>
        </w:rPr>
        <w:t>SM</w:t>
      </w:r>
      <w:r w:rsidR="007C1E20">
        <w:rPr>
          <w:i/>
          <w:iCs/>
        </w:rPr>
        <w:t>N</w:t>
      </w:r>
      <w:r w:rsidR="00E1397A">
        <w:rPr>
          <w:i/>
          <w:iCs/>
        </w:rPr>
        <w:t>1</w:t>
      </w:r>
      <w:r>
        <w:t xml:space="preserve"> are </w:t>
      </w:r>
      <w:r>
        <w:lastRenderedPageBreak/>
        <w:t xml:space="preserve">equally prevalent in the non-Ashkenazi Jewish Australian population, and publicly funded carrier testing for these genes (plus </w:t>
      </w:r>
      <w:r w:rsidR="00F71F53">
        <w:t>FXS</w:t>
      </w:r>
      <w:r>
        <w:t xml:space="preserve">) </w:t>
      </w:r>
      <w:r w:rsidR="00227C16">
        <w:t xml:space="preserve">has already been </w:t>
      </w:r>
      <w:r w:rsidR="00C8457A">
        <w:t>supported</w:t>
      </w:r>
      <w:r>
        <w:t xml:space="preserve"> by MSAC (MSAC application 1573).</w:t>
      </w:r>
    </w:p>
    <w:p w14:paraId="7B935A48" w14:textId="515C972B" w:rsidR="004C266D" w:rsidRDefault="008C09F8" w:rsidP="004C266D">
      <w:r>
        <w:t xml:space="preserve">Further, the Human Genetics Society of Australasia (HGSA)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 xml:space="preserve">) and the </w:t>
      </w:r>
      <w:r w:rsidRPr="00E60B13">
        <w:t>Royal Australian and New Zealand College of Obstetricians and Gynaecologists</w:t>
      </w:r>
      <w:r>
        <w:t xml:space="preserve"> (RANZCOG) </w:t>
      </w:r>
      <w:r>
        <w:fldChar w:fldCharType="begin"/>
      </w:r>
      <w:r>
        <w:instrText xml:space="preserve"> ADDIN EN.CITE &lt;EndNote&gt;&lt;Cite&gt;&lt;Author&gt;RANZCOG&lt;/Author&gt;&lt;Year&gt;2019&lt;/Year&gt;&lt;RecNum&gt;7&lt;/RecNum&gt;&lt;DisplayText&gt;(RANZCOG, 2019)&lt;/DisplayText&gt;&lt;record&gt;&lt;rec-number&gt;7&lt;/rec-number&gt;&lt;foreign-keys&gt;&lt;key app="EN" db-id="tvd2x2aeprp90te22eox9tvxfe2a0xv0tdfs" timestamp="1623373158"&gt;7&lt;/key&gt;&lt;/foreign-keys&gt;&lt;ref-type name="Web Page"&gt;12&lt;/ref-type&gt;&lt;contributors&gt;&lt;authors&gt;&lt;author&gt;RANZCOG&lt;/author&gt;&lt;/authors&gt;&lt;/contributors&gt;&lt;titles&gt;&lt;title&gt;Genetic carrier screening&lt;/title&gt;&lt;/titles&gt;&lt;volume&gt;2020&lt;/volume&gt;&lt;number&gt;21st September&lt;/number&gt;&lt;dates&gt;&lt;year&gt;2019&lt;/year&gt;&lt;/dates&gt;&lt;pub-location&gt;Melbourne, Victoria&lt;/pub-location&gt;&lt;publisher&gt;RANCOG&lt;/publisher&gt;&lt;urls&gt;&lt;related-urls&gt;&lt;url&gt;https://ranzcog.edu.au/RANZCOG_SITE/media/RANZCOG-MEDIA/Women%27s%20Health/Statement%20and%20guidelines/Clinical-Obstetrics/Genetic-carrier-screening(C-Obs-63)New-March-2019_1.pdf?ext=.pdf&lt;/url&gt;&lt;/related-urls&gt;&lt;/urls&gt;&lt;/record&gt;&lt;/Cite&gt;&lt;/EndNote&gt;</w:instrText>
      </w:r>
      <w:r>
        <w:fldChar w:fldCharType="separate"/>
      </w:r>
      <w:r>
        <w:rPr>
          <w:noProof/>
        </w:rPr>
        <w:t>(RANZCOG, 2019)</w:t>
      </w:r>
      <w:r>
        <w:fldChar w:fldCharType="end"/>
      </w:r>
      <w:r>
        <w:t xml:space="preserve"> recommend offering Ashkenazi Jews access to testing for TSD</w:t>
      </w:r>
      <w:r w:rsidRPr="00D2201F">
        <w:t xml:space="preserve">, </w:t>
      </w:r>
      <w:r>
        <w:t>CF, NPD,</w:t>
      </w:r>
      <w:r w:rsidRPr="00D2201F">
        <w:t xml:space="preserve"> </w:t>
      </w:r>
      <w:r>
        <w:t>FA</w:t>
      </w:r>
      <w:r w:rsidRPr="00D2201F">
        <w:t xml:space="preserve">, </w:t>
      </w:r>
      <w:r>
        <w:t>FD</w:t>
      </w:r>
      <w:r w:rsidRPr="00923DBD">
        <w:t xml:space="preserve">, </w:t>
      </w:r>
      <w:r>
        <w:t>BS</w:t>
      </w:r>
      <w:r w:rsidRPr="00923DBD">
        <w:t xml:space="preserve">, </w:t>
      </w:r>
      <w:r>
        <w:t>CD</w:t>
      </w:r>
      <w:r w:rsidRPr="00923DBD">
        <w:t xml:space="preserve"> and </w:t>
      </w:r>
      <w:r>
        <w:t>MLD, because of the relatively high prevalence</w:t>
      </w:r>
      <w:r w:rsidR="007C1E20">
        <w:t xml:space="preserve"> of these diseases</w:t>
      </w:r>
      <w:r>
        <w:t xml:space="preserve"> among Ashkenazi Jews </w:t>
      </w:r>
      <w:r w:rsidR="007C1E20">
        <w:t xml:space="preserve">compared to </w:t>
      </w:r>
      <w:r>
        <w:t xml:space="preserve">the general population. </w:t>
      </w:r>
    </w:p>
    <w:p w14:paraId="7516440D" w14:textId="77777777" w:rsidR="003B2EF3" w:rsidRDefault="003B2EF3" w:rsidP="004C266D">
      <w:pPr>
        <w:sectPr w:rsidR="003B2EF3" w:rsidSect="006C5509">
          <w:footerReference w:type="even" r:id="rId9"/>
          <w:footerReference w:type="default" r:id="rId10"/>
          <w:pgSz w:w="11906" w:h="16838"/>
          <w:pgMar w:top="682" w:right="1134" w:bottom="709" w:left="1191" w:header="709" w:footer="709" w:gutter="0"/>
          <w:pgNumType w:start="0"/>
          <w:cols w:space="708"/>
          <w:titlePg/>
          <w:docGrid w:linePitch="360"/>
        </w:sectPr>
      </w:pPr>
    </w:p>
    <w:p w14:paraId="639D51AA" w14:textId="7A190E20" w:rsidR="003B2EF3" w:rsidRDefault="003B2EF3" w:rsidP="003B2EF3">
      <w:pPr>
        <w:pStyle w:val="Caption"/>
      </w:pPr>
      <w:bookmarkStart w:id="7" w:name="_Ref76134044"/>
      <w:r>
        <w:lastRenderedPageBreak/>
        <w:t xml:space="preserve">Table </w:t>
      </w:r>
      <w:r>
        <w:fldChar w:fldCharType="begin"/>
      </w:r>
      <w:r>
        <w:instrText xml:space="preserve"> SEQ Table \* ARABIC </w:instrText>
      </w:r>
      <w:r>
        <w:fldChar w:fldCharType="separate"/>
      </w:r>
      <w:r w:rsidR="00E1397A">
        <w:rPr>
          <w:noProof/>
        </w:rPr>
        <w:t>2</w:t>
      </w:r>
      <w:r>
        <w:fldChar w:fldCharType="end"/>
      </w:r>
      <w:bookmarkEnd w:id="7"/>
      <w:r>
        <w:t xml:space="preserve"> </w:t>
      </w:r>
      <w:r w:rsidRPr="00356619">
        <w:tab/>
        <w:t>Characteristics of disorders recommended to be tested for in individuals with a &gt;10% personal risk of being a heterozygous genetic carrier</w:t>
      </w:r>
    </w:p>
    <w:tbl>
      <w:tblPr>
        <w:tblStyle w:val="TableGrid"/>
        <w:tblW w:w="5000" w:type="pct"/>
        <w:tblInd w:w="0" w:type="dxa"/>
        <w:tblLook w:val="04A0" w:firstRow="1" w:lastRow="0" w:firstColumn="1" w:lastColumn="0" w:noHBand="0" w:noVBand="1"/>
      </w:tblPr>
      <w:tblGrid>
        <w:gridCol w:w="1506"/>
        <w:gridCol w:w="2487"/>
        <w:gridCol w:w="2614"/>
        <w:gridCol w:w="3073"/>
        <w:gridCol w:w="2039"/>
        <w:gridCol w:w="3406"/>
      </w:tblGrid>
      <w:tr w:rsidR="003B2EF3" w:rsidRPr="00E82F54" w14:paraId="37F5EF33" w14:textId="77777777" w:rsidTr="007C3C21">
        <w:trPr>
          <w:tblHeader/>
        </w:trPr>
        <w:tc>
          <w:tcPr>
            <w:tcW w:w="498" w:type="pct"/>
            <w:tcBorders>
              <w:bottom w:val="single" w:sz="4" w:space="0" w:color="auto"/>
            </w:tcBorders>
            <w:shd w:val="clear" w:color="auto" w:fill="auto"/>
          </w:tcPr>
          <w:p w14:paraId="2552CF36" w14:textId="77777777" w:rsidR="003B2EF3" w:rsidRPr="00E82F54" w:rsidRDefault="003B2EF3" w:rsidP="00024485">
            <w:pPr>
              <w:pStyle w:val="TableHEADER"/>
            </w:pPr>
            <w:r>
              <w:t>Condition</w:t>
            </w:r>
          </w:p>
        </w:tc>
        <w:tc>
          <w:tcPr>
            <w:tcW w:w="822" w:type="pct"/>
            <w:tcBorders>
              <w:bottom w:val="single" w:sz="4" w:space="0" w:color="auto"/>
            </w:tcBorders>
            <w:shd w:val="clear" w:color="auto" w:fill="auto"/>
          </w:tcPr>
          <w:p w14:paraId="74E40608" w14:textId="77777777" w:rsidR="003B2EF3" w:rsidRPr="00E82F54" w:rsidRDefault="003B2EF3" w:rsidP="00024485">
            <w:pPr>
              <w:pStyle w:val="TableHEADER"/>
            </w:pPr>
            <w:r>
              <w:t>Clinical features</w:t>
            </w:r>
          </w:p>
        </w:tc>
        <w:tc>
          <w:tcPr>
            <w:tcW w:w="864" w:type="pct"/>
            <w:tcBorders>
              <w:bottom w:val="single" w:sz="4" w:space="0" w:color="auto"/>
            </w:tcBorders>
            <w:shd w:val="clear" w:color="auto" w:fill="auto"/>
          </w:tcPr>
          <w:p w14:paraId="6AC862AE" w14:textId="77777777" w:rsidR="003B2EF3" w:rsidRPr="00E82F54" w:rsidRDefault="003B2EF3" w:rsidP="00024485">
            <w:pPr>
              <w:pStyle w:val="TableHEADER"/>
            </w:pPr>
            <w:r>
              <w:t>Mode of inheritance and cause of condition</w:t>
            </w:r>
          </w:p>
        </w:tc>
        <w:tc>
          <w:tcPr>
            <w:tcW w:w="1016" w:type="pct"/>
            <w:tcBorders>
              <w:bottom w:val="single" w:sz="4" w:space="0" w:color="auto"/>
            </w:tcBorders>
            <w:shd w:val="clear" w:color="auto" w:fill="auto"/>
          </w:tcPr>
          <w:p w14:paraId="247E9E21" w14:textId="77777777" w:rsidR="003B2EF3" w:rsidRPr="00E82F54" w:rsidRDefault="003B2EF3" w:rsidP="00024485">
            <w:pPr>
              <w:pStyle w:val="TableHEADER"/>
            </w:pPr>
            <w:r>
              <w:t>Treatment and/or management</w:t>
            </w:r>
          </w:p>
        </w:tc>
        <w:tc>
          <w:tcPr>
            <w:tcW w:w="674" w:type="pct"/>
            <w:tcBorders>
              <w:bottom w:val="single" w:sz="4" w:space="0" w:color="auto"/>
            </w:tcBorders>
            <w:shd w:val="clear" w:color="auto" w:fill="auto"/>
          </w:tcPr>
          <w:p w14:paraId="288527A4" w14:textId="3922FC36" w:rsidR="003B2EF3" w:rsidRPr="00E82F54" w:rsidRDefault="003B2EF3" w:rsidP="00024485">
            <w:pPr>
              <w:pStyle w:val="TableHEADER"/>
            </w:pPr>
            <w:r>
              <w:t xml:space="preserve">Prevalence and carrier frequency </w:t>
            </w:r>
            <w:r w:rsidRPr="0025524C">
              <w:t xml:space="preserve">in </w:t>
            </w:r>
            <w:r w:rsidR="00666B40">
              <w:t xml:space="preserve">Ashkenazi Jewish </w:t>
            </w:r>
            <w:r w:rsidRPr="0025524C">
              <w:t>population</w:t>
            </w:r>
          </w:p>
        </w:tc>
        <w:tc>
          <w:tcPr>
            <w:tcW w:w="1126" w:type="pct"/>
            <w:tcBorders>
              <w:bottom w:val="single" w:sz="4" w:space="0" w:color="auto"/>
            </w:tcBorders>
            <w:shd w:val="clear" w:color="auto" w:fill="auto"/>
          </w:tcPr>
          <w:p w14:paraId="174E7547" w14:textId="77777777" w:rsidR="003B2EF3" w:rsidRPr="00E82F54" w:rsidRDefault="003B2EF3" w:rsidP="00024485">
            <w:pPr>
              <w:pStyle w:val="TableHEADER"/>
            </w:pPr>
            <w:r>
              <w:t>Carrier testing</w:t>
            </w:r>
          </w:p>
        </w:tc>
      </w:tr>
      <w:tr w:rsidR="003B2EF3" w:rsidRPr="00E82F54" w14:paraId="0AB5F3A7" w14:textId="77777777" w:rsidTr="007C3C21">
        <w:tc>
          <w:tcPr>
            <w:tcW w:w="498" w:type="pct"/>
            <w:tcBorders>
              <w:bottom w:val="single" w:sz="4" w:space="0" w:color="auto"/>
            </w:tcBorders>
          </w:tcPr>
          <w:p w14:paraId="70E63929" w14:textId="1C960A5F" w:rsidR="003B2EF3" w:rsidRPr="00FA4A2E" w:rsidRDefault="003B2EF3" w:rsidP="00024485">
            <w:pPr>
              <w:pStyle w:val="Tabletext"/>
            </w:pPr>
            <w:bookmarkStart w:id="8" w:name="_Hlk76561385"/>
            <w:bookmarkStart w:id="9" w:name="_Hlk76122973"/>
            <w:r w:rsidRPr="004E138A">
              <w:t>Tay-Sachs disease</w:t>
            </w:r>
            <w:r>
              <w:t xml:space="preserve"> (TSD</w:t>
            </w:r>
            <w:bookmarkEnd w:id="8"/>
            <w:r>
              <w:t xml:space="preserve">), </w:t>
            </w:r>
            <w:r w:rsidRPr="004E138A">
              <w:t>a lysosomal storage disorder</w:t>
            </w:r>
            <w:r>
              <w:t xml:space="preserve"> </w:t>
            </w:r>
            <w:r>
              <w:fldChar w:fldCharType="begin"/>
            </w:r>
            <w:r>
              <w:instrText xml:space="preserve"> ADDIN EN.CITE &lt;EndNote&gt;&lt;Cite&gt;&lt;Author&gt;NIH&lt;/Author&gt;&lt;Year&gt;2012&lt;/Year&gt;&lt;RecNum&gt;37&lt;/RecNum&gt;&lt;DisplayText&gt;(NIH, 2012b)&lt;/DisplayText&gt;&lt;record&gt;&lt;rec-number&gt;37&lt;/rec-number&gt;&lt;foreign-keys&gt;&lt;key app="EN" db-id="tvd2x2aeprp90te22eox9tvxfe2a0xv0tdfs" timestamp="1623373159"&gt;37&lt;/key&gt;&lt;/foreign-keys&gt;&lt;ref-type name="Web Page"&gt;12&lt;/ref-type&gt;&lt;contributors&gt;&lt;authors&gt;&lt;author&gt;NIH&lt;/author&gt;&lt;/authors&gt;&lt;/contributors&gt;&lt;titles&gt;&lt;title&gt;Tay-Sachs disease&lt;/title&gt;&lt;secondary-title&gt;Genetics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Medicine&lt;/publisher&gt;&lt;urls&gt;&lt;related-urls&gt;&lt;url&gt;https://ghr.nlm.nih.gov/condition/tay-sachs-disease&lt;/url&gt;&lt;/related-urls&gt;&lt;/urls&gt;&lt;/record&gt;&lt;/Cite&gt;&lt;/EndNote&gt;</w:instrText>
            </w:r>
            <w:r>
              <w:fldChar w:fldCharType="separate"/>
            </w:r>
            <w:r>
              <w:rPr>
                <w:noProof/>
              </w:rPr>
              <w:t>(NIH, 2012b)</w:t>
            </w:r>
            <w:r>
              <w:fldChar w:fldCharType="end"/>
            </w:r>
          </w:p>
        </w:tc>
        <w:tc>
          <w:tcPr>
            <w:tcW w:w="822" w:type="pct"/>
            <w:tcBorders>
              <w:bottom w:val="single" w:sz="4" w:space="0" w:color="auto"/>
            </w:tcBorders>
          </w:tcPr>
          <w:p w14:paraId="4B2BDE98" w14:textId="77777777" w:rsidR="003B2EF3" w:rsidRPr="00FA4A2E" w:rsidRDefault="003B2EF3" w:rsidP="00024485">
            <w:pPr>
              <w:pStyle w:val="Tabletext"/>
            </w:pPr>
            <w:r>
              <w:t>T</w:t>
            </w:r>
            <w:r w:rsidRPr="004E138A">
              <w:t>ypically appears in infants aged 3</w:t>
            </w:r>
            <w:r>
              <w:t>-</w:t>
            </w:r>
            <w:r w:rsidRPr="004E138A">
              <w:t>6 months, when normal development slows, and muscles used for movement weaken, resulting in a loss of motor skills such as turning over, sitting, and crawling. Disease progression is a result of neurons in the brain and spinal cord gradually being destroyed, with symptoms including an exaggerated startle reaction to loud noises, seizures, vision and hearing loss, intellectual disability, and paralysis</w:t>
            </w:r>
            <w:r>
              <w:t>/</w:t>
            </w:r>
            <w:r w:rsidRPr="00EF4464">
              <w:t>spasticity</w:t>
            </w:r>
            <w:r w:rsidRPr="004E138A">
              <w:t>. Children with severe infantile form of T</w:t>
            </w:r>
            <w:r>
              <w:t>SD</w:t>
            </w:r>
            <w:r w:rsidRPr="004E138A">
              <w:t xml:space="preserve"> usually only live into early childhood</w:t>
            </w:r>
            <w:r>
              <w:t xml:space="preserve"> (&lt;4 years)</w:t>
            </w:r>
            <w:r w:rsidRPr="004E138A">
              <w:t>. Although there are other milder, late-onset forms of T</w:t>
            </w:r>
            <w:r>
              <w:t>SD</w:t>
            </w:r>
            <w:r w:rsidRPr="004E138A">
              <w:t xml:space="preserve"> that may occur in childhood, adolescence, or adulthood, these forms are extremely rare</w:t>
            </w:r>
            <w:r>
              <w:t xml:space="preserve"> </w:t>
            </w:r>
            <w:r>
              <w:fldChar w:fldCharType="begin"/>
            </w:r>
            <w:r>
              <w:instrText xml:space="preserve"> ADDIN EN.CITE &lt;EndNote&gt;&lt;Cite&gt;&lt;Author&gt;NIH&lt;/Author&gt;&lt;Year&gt;2012&lt;/Year&gt;&lt;RecNum&gt;37&lt;/RecNum&gt;&lt;DisplayText&gt;(NIH, 2012b)&lt;/DisplayText&gt;&lt;record&gt;&lt;rec-number&gt;37&lt;/rec-number&gt;&lt;foreign-keys&gt;&lt;key app="EN" db-id="tvd2x2aeprp90te22eox9tvxfe2a0xv0tdfs" timestamp="1623373159"&gt;37&lt;/key&gt;&lt;/foreign-keys&gt;&lt;ref-type name="Web Page"&gt;12&lt;/ref-type&gt;&lt;contributors&gt;&lt;authors&gt;&lt;author&gt;NIH&lt;/author&gt;&lt;/authors&gt;&lt;/contributors&gt;&lt;titles&gt;&lt;title&gt;Tay-Sachs disease&lt;/title&gt;&lt;secondary-title&gt;Genetics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Medicine&lt;/publisher&gt;&lt;urls&gt;&lt;related-urls&gt;&lt;url&gt;https://ghr.nlm.nih.gov/condition/tay-sachs-disease&lt;/url&gt;&lt;/related-urls&gt;&lt;/urls&gt;&lt;/record&gt;&lt;/Cite&gt;&lt;/EndNote&gt;</w:instrText>
            </w:r>
            <w:r>
              <w:fldChar w:fldCharType="separate"/>
            </w:r>
            <w:r>
              <w:rPr>
                <w:noProof/>
              </w:rPr>
              <w:t>(NIH, 2012b)</w:t>
            </w:r>
            <w:r>
              <w:fldChar w:fldCharType="end"/>
            </w:r>
            <w:r>
              <w:t>.</w:t>
            </w:r>
          </w:p>
        </w:tc>
        <w:tc>
          <w:tcPr>
            <w:tcW w:w="864" w:type="pct"/>
            <w:tcBorders>
              <w:bottom w:val="single" w:sz="4" w:space="0" w:color="auto"/>
            </w:tcBorders>
          </w:tcPr>
          <w:p w14:paraId="6D073B11" w14:textId="77777777" w:rsidR="003B2EF3" w:rsidRPr="00FA4A2E" w:rsidRDefault="003B2EF3" w:rsidP="00024485">
            <w:pPr>
              <w:pStyle w:val="Tabletext"/>
            </w:pPr>
            <w:r w:rsidRPr="00FA4A2E">
              <w:t>Autosomal recessive.</w:t>
            </w:r>
            <w:r>
              <w:t xml:space="preserve"> Carriers </w:t>
            </w:r>
            <w:r w:rsidRPr="004E138A">
              <w:t xml:space="preserve">typically do not show signs </w:t>
            </w:r>
            <w:r>
              <w:t xml:space="preserve">or </w:t>
            </w:r>
            <w:r w:rsidRPr="004E138A">
              <w:t xml:space="preserve">symptoms of </w:t>
            </w:r>
            <w:r>
              <w:t>TSD</w:t>
            </w:r>
            <w:r w:rsidRPr="004E138A">
              <w:t>.</w:t>
            </w:r>
          </w:p>
          <w:p w14:paraId="4971F0D0" w14:textId="77777777" w:rsidR="003B2EF3" w:rsidRDefault="003B2EF3" w:rsidP="00024485">
            <w:pPr>
              <w:pStyle w:val="Tabletext"/>
            </w:pPr>
            <w:r>
              <w:t>C</w:t>
            </w:r>
            <w:r w:rsidRPr="004E138A">
              <w:t xml:space="preserve">aused by variants in the </w:t>
            </w:r>
            <w:r w:rsidRPr="00160DA0">
              <w:rPr>
                <w:rStyle w:val="Emphasis"/>
              </w:rPr>
              <w:t>HEXA</w:t>
            </w:r>
            <w:r w:rsidRPr="004E138A">
              <w:t xml:space="preserve"> gene, which is required </w:t>
            </w:r>
            <w:proofErr w:type="gramStart"/>
            <w:r w:rsidRPr="004E138A">
              <w:t>for the production of</w:t>
            </w:r>
            <w:proofErr w:type="gramEnd"/>
            <w:r w:rsidRPr="004E138A">
              <w:t xml:space="preserve"> beta-hexosaminidase A, a </w:t>
            </w:r>
            <w:r>
              <w:t>key</w:t>
            </w:r>
            <w:r w:rsidRPr="004E138A">
              <w:t xml:space="preserve"> lysosomal enzyme needed to breakdown GM2 gangliosides. Without functional beta-hexosaminidase A, GM2 gangliosides accumulate to toxic levels causing progressive damage to neurons within the brain and spinal cord</w:t>
            </w:r>
            <w:r>
              <w:t>.</w:t>
            </w:r>
            <w:r>
              <w:fldChar w:fldCharType="begin"/>
            </w:r>
            <w:r>
              <w:instrText xml:space="preserve"> ADDIN EN.CITE &lt;EndNote&gt;&lt;Cite&gt;&lt;Author&gt;NIH&lt;/Author&gt;&lt;Year&gt;2008&lt;/Year&gt;&lt;RecNum&gt;38&lt;/RecNum&gt;&lt;DisplayText&gt;(NIH, 2008)&lt;/DisplayText&gt;&lt;record&gt;&lt;rec-number&gt;38&lt;/rec-number&gt;&lt;foreign-keys&gt;&lt;key app="EN" db-id="tvd2x2aeprp90te22eox9tvxfe2a0xv0tdfs" timestamp="1623373159"&gt;38&lt;/key&gt;&lt;/foreign-keys&gt;&lt;ref-type name="Web Page"&gt;12&lt;/ref-type&gt;&lt;contributors&gt;&lt;authors&gt;&lt;author&gt;NIH&lt;/author&gt;&lt;/authors&gt;&lt;/contributors&gt;&lt;titles&gt;&lt;title&gt;HEXA gene&lt;/title&gt;&lt;secondary-title&gt;Genetics Home Reference&lt;/secondary-title&gt;&lt;/titles&gt;&lt;volume&gt;2020&lt;/volume&gt;&lt;number&gt;18th August&lt;/number&gt;&lt;dates&gt;&lt;year&gt;2008&lt;/year&gt;&lt;/dates&gt;&lt;pub-location&gt;Bethesda, Maryland, USA&lt;/pub-location&gt;&lt;publisher&gt;U.S. National Institutes of Health and National Library of Medicine&lt;/publisher&gt;&lt;urls&gt;&lt;related-urls&gt;&lt;url&gt;https://ghr.nlm.nih.gov/gene/HEXA#location&lt;/url&gt;&lt;/related-urls&gt;&lt;/urls&gt;&lt;/record&gt;&lt;/Cite&gt;&lt;/EndNote&gt;</w:instrText>
            </w:r>
            <w:r>
              <w:fldChar w:fldCharType="separate"/>
            </w:r>
            <w:r>
              <w:rPr>
                <w:noProof/>
              </w:rPr>
              <w:t>(NIH, 2008)</w:t>
            </w:r>
            <w:r>
              <w:fldChar w:fldCharType="end"/>
            </w:r>
            <w:r w:rsidRPr="004E138A">
              <w:t xml:space="preserve"> </w:t>
            </w:r>
          </w:p>
          <w:p w14:paraId="33303C4C" w14:textId="4318A445" w:rsidR="003B2EF3" w:rsidRPr="00FA4A2E" w:rsidRDefault="003B2EF3" w:rsidP="00024485">
            <w:pPr>
              <w:pStyle w:val="Tabletext"/>
            </w:pPr>
            <w:r w:rsidRPr="00511DCE">
              <w:t xml:space="preserve">Individuals </w:t>
            </w:r>
            <w:r>
              <w:t xml:space="preserve">with </w:t>
            </w:r>
            <w:r w:rsidRPr="00511DCE">
              <w:t xml:space="preserve">TSD have two null alleles with no </w:t>
            </w:r>
            <w:r w:rsidRPr="003B2EF3">
              <w:rPr>
                <w:i/>
                <w:iCs/>
              </w:rPr>
              <w:t>HEXA</w:t>
            </w:r>
            <w:r w:rsidRPr="00511DCE">
              <w:t xml:space="preserve"> enzymatic activity</w:t>
            </w:r>
            <w:r>
              <w:t xml:space="preserve"> </w:t>
            </w:r>
            <w:r>
              <w:fldChar w:fldCharType="begin"/>
            </w:r>
            <w:r>
              <w:instrText xml:space="preserve"> ADDIN EN.CITE &lt;EndNote&gt;&lt;Cite&gt;&lt;Author&gt;Kaback&lt;/Author&gt;&lt;Year&gt;2011&lt;/Year&gt;&lt;RecNum&gt;39&lt;/RecNum&gt;&lt;DisplayText&gt;(Kaback &amp;amp; Desnick, 2011)&lt;/DisplayText&gt;&lt;record&gt;&lt;rec-number&gt;39&lt;/rec-number&gt;&lt;foreign-keys&gt;&lt;key app="EN" db-id="tvd2x2aeprp90te22eox9tvxfe2a0xv0tdfs" timestamp="1623373159"&gt;39&lt;/key&gt;&lt;/foreign-keys&gt;&lt;ref-type name="Web Page"&gt;12&lt;/ref-type&gt;&lt;contributors&gt;&lt;authors&gt;&lt;author&gt;Kaback, M.M.&lt;/author&gt;&lt;author&gt;Desnick, R.J. &lt;/author&gt;&lt;/authors&gt;&lt;secondary-authors&gt;&lt;author&gt;Adam, M.P.&lt;/author&gt;&lt;author&gt;Ardinger, H.H.&lt;/author&gt;&lt;author&gt;Pagon, R.A.&lt;/author&gt;&lt;/secondary-authors&gt;&lt;/contributors&gt;&lt;titles&gt;&lt;title&gt;Hexosaminidase A Deficiency&lt;/title&gt;&lt;secondary-title&gt;GeneReviews®&lt;/secondary-title&gt;&lt;/titles&gt;&lt;volume&gt;2020&lt;/volume&gt;&lt;number&gt;15th June&lt;/number&gt;&lt;dates&gt;&lt;year&gt;2011&lt;/year&gt;&lt;/dates&gt;&lt;pub-location&gt;Seattle&lt;/pub-location&gt;&lt;publisher&gt;University of Washington&lt;/publisher&gt;&lt;urls&gt;&lt;related-urls&gt;&lt;url&gt;https://www.ncbi.nlm.nih.gov/books/NBK1218/pdf/Bookshelf_NBK1218.pdf&lt;/url&gt;&lt;/related-urls&gt;&lt;/urls&gt;&lt;/record&gt;&lt;/Cite&gt;&lt;/EndNote&gt;</w:instrText>
            </w:r>
            <w:r>
              <w:fldChar w:fldCharType="separate"/>
            </w:r>
            <w:r>
              <w:rPr>
                <w:noProof/>
              </w:rPr>
              <w:t>(Kaback &amp; Desnick, 2011)</w:t>
            </w:r>
            <w:r>
              <w:fldChar w:fldCharType="end"/>
            </w:r>
            <w:r>
              <w:t>.</w:t>
            </w:r>
          </w:p>
        </w:tc>
        <w:tc>
          <w:tcPr>
            <w:tcW w:w="1016" w:type="pct"/>
            <w:tcBorders>
              <w:bottom w:val="single" w:sz="4" w:space="0" w:color="auto"/>
            </w:tcBorders>
          </w:tcPr>
          <w:p w14:paraId="5C85F631" w14:textId="77777777" w:rsidR="003B2EF3" w:rsidRDefault="003B2EF3" w:rsidP="00024485">
            <w:pPr>
              <w:pStyle w:val="Tabletext"/>
            </w:pPr>
            <w:r w:rsidRPr="00FA4A2E">
              <w:t xml:space="preserve">No cure. </w:t>
            </w:r>
          </w:p>
          <w:p w14:paraId="1A4293B0" w14:textId="50651DA4" w:rsidR="003B2EF3" w:rsidRPr="00FA4A2E" w:rsidRDefault="003B2EF3" w:rsidP="00024485">
            <w:pPr>
              <w:pStyle w:val="Tabletext"/>
            </w:pPr>
            <w:r w:rsidRPr="00DF4758">
              <w:t>Treatment is mostly supportive</w:t>
            </w:r>
            <w:r>
              <w:t>.</w:t>
            </w:r>
            <w:r w:rsidRPr="00DF4758">
              <w:t xml:space="preserve"> Seizure</w:t>
            </w:r>
            <w:r>
              <w:t xml:space="preserve">s may be </w:t>
            </w:r>
            <w:r w:rsidRPr="00DF4758">
              <w:t>control</w:t>
            </w:r>
            <w:r>
              <w:t>led</w:t>
            </w:r>
            <w:r w:rsidRPr="00DF4758">
              <w:t xml:space="preserve"> using conventional antiepileptic drugs such as benzodiazepines, </w:t>
            </w:r>
            <w:r w:rsidR="00B22205" w:rsidRPr="00DF4758">
              <w:t>phenytoin</w:t>
            </w:r>
            <w:r w:rsidRPr="00DF4758">
              <w:t xml:space="preserve">, and/or barbiturates; </w:t>
            </w:r>
            <w:r>
              <w:t>however,</w:t>
            </w:r>
            <w:r w:rsidRPr="00DF4758">
              <w:t xml:space="preserve"> seizures are progressive and can change in type and severity</w:t>
            </w:r>
            <w:r>
              <w:t xml:space="preserve"> </w:t>
            </w:r>
            <w:r>
              <w:fldChar w:fldCharType="begin"/>
            </w:r>
            <w:r>
              <w:instrText xml:space="preserve"> ADDIN EN.CITE &lt;EndNote&gt;&lt;Cite&gt;&lt;Author&gt;Kaback&lt;/Author&gt;&lt;Year&gt;2011&lt;/Year&gt;&lt;RecNum&gt;39&lt;/RecNum&gt;&lt;DisplayText&gt;(Kaback &amp;amp; Desnick, 2011)&lt;/DisplayText&gt;&lt;record&gt;&lt;rec-number&gt;39&lt;/rec-number&gt;&lt;foreign-keys&gt;&lt;key app="EN" db-id="tvd2x2aeprp90te22eox9tvxfe2a0xv0tdfs" timestamp="1623373159"&gt;39&lt;/key&gt;&lt;/foreign-keys&gt;&lt;ref-type name="Web Page"&gt;12&lt;/ref-type&gt;&lt;contributors&gt;&lt;authors&gt;&lt;author&gt;Kaback, M.M.&lt;/author&gt;&lt;author&gt;Desnick, R.J. &lt;/author&gt;&lt;/authors&gt;&lt;secondary-authors&gt;&lt;author&gt;Adam, M.P.&lt;/author&gt;&lt;author&gt;Ardinger, H.H.&lt;/author&gt;&lt;author&gt;Pagon, R.A.&lt;/author&gt;&lt;/secondary-authors&gt;&lt;/contributors&gt;&lt;titles&gt;&lt;title&gt;Hexosaminidase A Deficiency&lt;/title&gt;&lt;secondary-title&gt;GeneReviews®&lt;/secondary-title&gt;&lt;/titles&gt;&lt;volume&gt;2020&lt;/volume&gt;&lt;number&gt;15th June&lt;/number&gt;&lt;dates&gt;&lt;year&gt;2011&lt;/year&gt;&lt;/dates&gt;&lt;pub-location&gt;Seattle&lt;/pub-location&gt;&lt;publisher&gt;University of Washington&lt;/publisher&gt;&lt;urls&gt;&lt;related-urls&gt;&lt;url&gt;https://www.ncbi.nlm.nih.gov/books/NBK1218/pdf/Bookshelf_NBK1218.pdf&lt;/url&gt;&lt;/related-urls&gt;&lt;/urls&gt;&lt;/record&gt;&lt;/Cite&gt;&lt;/EndNote&gt;</w:instrText>
            </w:r>
            <w:r>
              <w:fldChar w:fldCharType="separate"/>
            </w:r>
            <w:r>
              <w:rPr>
                <w:noProof/>
              </w:rPr>
              <w:t>(Kaback &amp; Desnick, 2011)</w:t>
            </w:r>
            <w:r>
              <w:fldChar w:fldCharType="end"/>
            </w:r>
            <w:r>
              <w:t>.</w:t>
            </w:r>
          </w:p>
        </w:tc>
        <w:tc>
          <w:tcPr>
            <w:tcW w:w="674" w:type="pct"/>
            <w:tcBorders>
              <w:bottom w:val="single" w:sz="4" w:space="0" w:color="auto"/>
            </w:tcBorders>
          </w:tcPr>
          <w:p w14:paraId="07289145" w14:textId="77777777" w:rsidR="003B2EF3" w:rsidRDefault="003B2EF3" w:rsidP="00024485">
            <w:pPr>
              <w:pStyle w:val="Tabletext"/>
            </w:pPr>
            <w:r w:rsidRPr="00102840">
              <w:rPr>
                <w:bCs/>
              </w:rPr>
              <w:t>Incidence</w:t>
            </w:r>
            <w:r w:rsidRPr="002C0872">
              <w:t xml:space="preserve"> in unscreened Jewish populations is </w:t>
            </w:r>
            <w:r>
              <w:br/>
              <w:t>1:</w:t>
            </w:r>
            <w:r w:rsidRPr="002C0872">
              <w:t>3,900 births</w:t>
            </w:r>
            <w:r>
              <w:t xml:space="preserve"> </w:t>
            </w:r>
            <w:r>
              <w:fldChar w:fldCharType="begin">
                <w:fldData xml:space="preserve">PEVuZE5vdGU+PENpdGU+PEF1dGhvcj5MZXc8L0F1dGhvcj48WWVhcj4yMDEyPC9ZZWFyPjxSZWNO
dW0+MjQ8L1JlY051bT48SURUZXh0PjIzMjMwOTM4PC9JRFRleHQ+PERpc3BsYXlUZXh0PihMZXcg
ZXQgYWwuLCAyMDEyKTwvRGlzcGxheVRleHQ+PHJlY29yZD48cmVjLW51bWJlcj4yNDwvcmVjLW51
bWJlcj48Zm9yZWlnbi1rZXlzPjxrZXkgYXBwPSJFTiIgZGItaWQ9InR2ZDJ4MmFlcHJwOTB0ZTIy
ZW94OXR2eGZlMmEweHYwdGRmcyIgdGltZXN0YW1wPSIxNjIzMzczMTU4Ij4yNDwva2V5PjwvZm9y
ZWlnbi1rZXlzPjxyZWYtdHlwZSBuYW1lPSJKb3VybmFsIEFydGljbGUiPjE3PC9yZWYtdHlwZT48
Y29udHJpYnV0b3JzPjxhdXRob3JzPjxhdXRob3I+TGV3LCBSLiBNLjwvYXV0aG9yPjxhdXRob3I+
UHJvb3MsIEEuIEwuPC9hdXRob3I+PGF1dGhvcj5CdXJuZXR0LCBMLjwvYXV0aG9yPjxhdXRob3I+
RGVsYXR5Y2tpLCBNLjwvYXV0aG9yPjxhdXRob3I+QmFua2llciwgQS48L2F1dGhvcj48YXV0aG9y
PkZpZXR6LCBNLiBKLjwvYXV0aG9yPjwvYXV0aG9ycz48L2NvbnRyaWJ1dG9ycz48YXV0aC1hZGRy
ZXNzPkRlcGFydG1lbnQgb2YgT2JzdGV0cmljcywgR3luYWVjb2xvZ3kgYW5kIE5lb25hdG9sb2d5
LCBVbml2ZXJzaXR5IG9mIFN5ZG5leSwgYW5kIFBhY2lmaWMgTGFib3JhdG9yeSBNZWRpY2luZSBT
ZXJ2aWNlcywgUGF0aG9sb2d5IE5vcnRoLCBOU1cgSGVhbHRoIFBhdGhvbG9neSwgUm95YWwgTm9y
dGggU2hvcmUgSG9zcGl0YWwsIFN5ZG5leSwgTlNXLCBBdXN0cmFsaWEuIHJsZXcyMDY0QHVuaS5z
eWRuZXkuZWR1LmF1PC9hdXRoLWFkZHJlc3M+PHRpdGxlcz48dGl0bGU+VGF5IFNhY2hzIGRpc2Vh
c2UgaW4gQXVzdHJhbGlhOiByZWR1Y2VkIGRpc2Vhc2UgaW5jaWRlbmNlIGRlc3BpdGUgc3RhYmxl
IGNhcnJpZXIgZnJlcXVlbmN5IGluIEF1c3RyYWxpYW4gSmV3czwvdGl0bGU+PHNlY29uZGFyeS10
aXRsZT5NZWQgSiBBdXN0PC9zZWNvbmRhcnktdGl0bGU+PC90aXRsZXM+PHBlcmlvZGljYWw+PGZ1
bGwtdGl0bGU+TWVkIEogQXVzdDwvZnVsbC10aXRsZT48L3BlcmlvZGljYWw+PHBhZ2VzPjY1Mi00
PC9wYWdlcz48dm9sdW1lPjE5Nzwvdm9sdW1lPjxudW1iZXI+MTE8L251bWJlcj48ZWRpdGlvbj4y
MDEyLzEyLzEzPC9lZGl0aW9uPjxrZXl3b3Jkcz48a2V5d29yZD5BZG9sZXNjZW50PC9rZXl3b3Jk
PjxrZXl3b3JkPkFkdWx0PC9rZXl3b3JkPjxrZXl3b3JkPkF1c3RyYWxpYS9lcGlkZW1pb2xvZ3k8
L2tleXdvcmQ+PGtleXdvcmQ+RmVtYWxlPC9rZXl3b3JkPjxrZXl3b3JkPkdlbmV0aWMgQ2Fycmll
ciBTY3JlZW5pbmc8L2tleXdvcmQ+PGtleXdvcmQ+R2VuZXRpYyBUZXN0aW5nPC9rZXl3b3JkPjxr
ZXl3b3JkPipIZXRlcm96eWdvdGU8L2tleXdvcmQ+PGtleXdvcmQ+SHVtYW5zPC9rZXl3b3JkPjxr
ZXl3b3JkPkluY2lkZW5jZTwva2V5d29yZD48a2V5d29yZD5KZXdzLypnZW5ldGljczwva2V5d29y
ZD48a2V5d29yZD5QcmVjb25jZXB0aW9uIENhcmU8L2tleXdvcmQ+PGtleXdvcmQ+UHJlZ25hbmN5
PC9rZXl3b3JkPjxrZXl3b3JkPlByZW5hdGFsIERpYWdub3Npczwva2V5d29yZD48a2V5d29yZD5S
ZXRyb3NwZWN0aXZlIFN0dWRpZXM8L2tleXdvcmQ+PGtleXdvcmQ+U2Nob29sczwva2V5d29yZD48
a2V5d29yZD5TdXJ2ZXlzIGFuZCBRdWVzdGlvbm5haXJlczwva2V5d29yZD48a2V5d29yZD5UYXkt
U2FjaHMgRGlzZWFzZS8qZGlhZ25vc2lzLyplcGlkZW1pb2xvZ3kvZ2VuZXRpY3M8L2tleXdvcmQ+
PGtleXdvcmQ+WW91bmcgQWR1bHQ8L2tleXdvcmQ+PC9rZXl3b3Jkcz48ZGF0ZXM+PHllYXI+MjAx
MjwveWVhcj48cHViLWRhdGVzPjxkYXRlPkRlYyAxMDwvZGF0ZT48L3B1Yi1kYXRlcz48L2RhdGVz
Pjxpc2JuPjAwMjUtNzI5eDwvaXNibj48YWNjZXNzaW9uLW51bT4yMzIzMDkzODwvYWNjZXNzaW9u
LW51bT48dXJscz48cmVsYXRlZC11cmxzPjx1cmw+aHR0cHM6Ly9vbmxpbmVsaWJyYXJ5LndpbGV5
LmNvbS9kb2kvYWJzLzEwLjU2OTQvbWphMTIuMTEwMTA8L3VybD48L3JlbGF0ZWQtdXJscz48L3Vy
bHM+PGVsZWN0cm9uaWMtcmVzb3VyY2UtbnVtPjEwLjU2OTQvbWphMTIuMTEwMTA8L2VsZWN0cm9u
aWMtcmVzb3VyY2UtbnVtPjxyZW1vdGUtZGF0YWJhc2UtcHJvdmlkZXI+TkxNPC9yZW1vdGUtZGF0
YWJhc2UtcHJvdmlkZXI+PGxhbmd1YWdlPmVuZzwvbGFuZ3VhZ2U+PC9yZWNvcmQ+PC9DaXRlPjwv
RW5kTm90ZT4A
</w:fldData>
              </w:fldChar>
            </w:r>
            <w:r>
              <w:instrText xml:space="preserve"> ADDIN EN.CITE </w:instrText>
            </w:r>
            <w:r>
              <w:fldChar w:fldCharType="begin">
                <w:fldData xml:space="preserve">PEVuZE5vdGU+PENpdGU+PEF1dGhvcj5MZXc8L0F1dGhvcj48WWVhcj4yMDEyPC9ZZWFyPjxSZWNO
dW0+MjQ8L1JlY051bT48SURUZXh0PjIzMjMwOTM4PC9JRFRleHQ+PERpc3BsYXlUZXh0PihMZXcg
ZXQgYWwuLCAyMDEyKTwvRGlzcGxheVRleHQ+PHJlY29yZD48cmVjLW51bWJlcj4yNDwvcmVjLW51
bWJlcj48Zm9yZWlnbi1rZXlzPjxrZXkgYXBwPSJFTiIgZGItaWQ9InR2ZDJ4MmFlcHJwOTB0ZTIy
ZW94OXR2eGZlMmEweHYwdGRmcyIgdGltZXN0YW1wPSIxNjIzMzczMTU4Ij4yNDwva2V5PjwvZm9y
ZWlnbi1rZXlzPjxyZWYtdHlwZSBuYW1lPSJKb3VybmFsIEFydGljbGUiPjE3PC9yZWYtdHlwZT48
Y29udHJpYnV0b3JzPjxhdXRob3JzPjxhdXRob3I+TGV3LCBSLiBNLjwvYXV0aG9yPjxhdXRob3I+
UHJvb3MsIEEuIEwuPC9hdXRob3I+PGF1dGhvcj5CdXJuZXR0LCBMLjwvYXV0aG9yPjxhdXRob3I+
RGVsYXR5Y2tpLCBNLjwvYXV0aG9yPjxhdXRob3I+QmFua2llciwgQS48L2F1dGhvcj48YXV0aG9y
PkZpZXR6LCBNLiBKLjwvYXV0aG9yPjwvYXV0aG9ycz48L2NvbnRyaWJ1dG9ycz48YXV0aC1hZGRy
ZXNzPkRlcGFydG1lbnQgb2YgT2JzdGV0cmljcywgR3luYWVjb2xvZ3kgYW5kIE5lb25hdG9sb2d5
LCBVbml2ZXJzaXR5IG9mIFN5ZG5leSwgYW5kIFBhY2lmaWMgTGFib3JhdG9yeSBNZWRpY2luZSBT
ZXJ2aWNlcywgUGF0aG9sb2d5IE5vcnRoLCBOU1cgSGVhbHRoIFBhdGhvbG9neSwgUm95YWwgTm9y
dGggU2hvcmUgSG9zcGl0YWwsIFN5ZG5leSwgTlNXLCBBdXN0cmFsaWEuIHJsZXcyMDY0QHVuaS5z
eWRuZXkuZWR1LmF1PC9hdXRoLWFkZHJlc3M+PHRpdGxlcz48dGl0bGU+VGF5IFNhY2hzIGRpc2Vh
c2UgaW4gQXVzdHJhbGlhOiByZWR1Y2VkIGRpc2Vhc2UgaW5jaWRlbmNlIGRlc3BpdGUgc3RhYmxl
IGNhcnJpZXIgZnJlcXVlbmN5IGluIEF1c3RyYWxpYW4gSmV3czwvdGl0bGU+PHNlY29uZGFyeS10
aXRsZT5NZWQgSiBBdXN0PC9zZWNvbmRhcnktdGl0bGU+PC90aXRsZXM+PHBlcmlvZGljYWw+PGZ1
bGwtdGl0bGU+TWVkIEogQXVzdDwvZnVsbC10aXRsZT48L3BlcmlvZGljYWw+PHBhZ2VzPjY1Mi00
PC9wYWdlcz48dm9sdW1lPjE5Nzwvdm9sdW1lPjxudW1iZXI+MTE8L251bWJlcj48ZWRpdGlvbj4y
MDEyLzEyLzEzPC9lZGl0aW9uPjxrZXl3b3Jkcz48a2V5d29yZD5BZG9sZXNjZW50PC9rZXl3b3Jk
PjxrZXl3b3JkPkFkdWx0PC9rZXl3b3JkPjxrZXl3b3JkPkF1c3RyYWxpYS9lcGlkZW1pb2xvZ3k8
L2tleXdvcmQ+PGtleXdvcmQ+RmVtYWxlPC9rZXl3b3JkPjxrZXl3b3JkPkdlbmV0aWMgQ2Fycmll
ciBTY3JlZW5pbmc8L2tleXdvcmQ+PGtleXdvcmQ+R2VuZXRpYyBUZXN0aW5nPC9rZXl3b3JkPjxr
ZXl3b3JkPipIZXRlcm96eWdvdGU8L2tleXdvcmQ+PGtleXdvcmQ+SHVtYW5zPC9rZXl3b3JkPjxr
ZXl3b3JkPkluY2lkZW5jZTwva2V5d29yZD48a2V5d29yZD5KZXdzLypnZW5ldGljczwva2V5d29y
ZD48a2V5d29yZD5QcmVjb25jZXB0aW9uIENhcmU8L2tleXdvcmQ+PGtleXdvcmQ+UHJlZ25hbmN5
PC9rZXl3b3JkPjxrZXl3b3JkPlByZW5hdGFsIERpYWdub3Npczwva2V5d29yZD48a2V5d29yZD5S
ZXRyb3NwZWN0aXZlIFN0dWRpZXM8L2tleXdvcmQ+PGtleXdvcmQ+U2Nob29sczwva2V5d29yZD48
a2V5d29yZD5TdXJ2ZXlzIGFuZCBRdWVzdGlvbm5haXJlczwva2V5d29yZD48a2V5d29yZD5UYXkt
U2FjaHMgRGlzZWFzZS8qZGlhZ25vc2lzLyplcGlkZW1pb2xvZ3kvZ2VuZXRpY3M8L2tleXdvcmQ+
PGtleXdvcmQ+WW91bmcgQWR1bHQ8L2tleXdvcmQ+PC9rZXl3b3Jkcz48ZGF0ZXM+PHllYXI+MjAx
MjwveWVhcj48cHViLWRhdGVzPjxkYXRlPkRlYyAxMDwvZGF0ZT48L3B1Yi1kYXRlcz48L2RhdGVz
Pjxpc2JuPjAwMjUtNzI5eDwvaXNibj48YWNjZXNzaW9uLW51bT4yMzIzMDkzODwvYWNjZXNzaW9u
LW51bT48dXJscz48cmVsYXRlZC11cmxzPjx1cmw+aHR0cHM6Ly9vbmxpbmVsaWJyYXJ5LndpbGV5
LmNvbS9kb2kvYWJzLzEwLjU2OTQvbWphMTIuMTEwMTA8L3VybD48L3JlbGF0ZWQtdXJscz48L3Vy
bHM+PGVsZWN0cm9uaWMtcmVzb3VyY2UtbnVtPjEwLjU2OTQvbWphMTIuMTEwMTA8L2VsZWN0cm9u
aWMtcmVzb3VyY2UtbnVtPjxyZW1vdGUtZGF0YWJhc2UtcHJvdmlkZXI+TkxNPC9yZW1vdGUtZGF0
YWJhc2UtcHJvdmlkZXI+PGxhbmd1YWdlPmVuZzwvbGFuZ3VhZ2U+PC9yZWNvcmQ+PC9DaXRlPjwv
RW5kTm90ZT4A
</w:fldData>
              </w:fldChar>
            </w:r>
            <w:r>
              <w:instrText xml:space="preserve"> ADDIN EN.CITE.DATA </w:instrText>
            </w:r>
            <w:r>
              <w:fldChar w:fldCharType="end"/>
            </w:r>
            <w:r>
              <w:fldChar w:fldCharType="separate"/>
            </w:r>
            <w:r>
              <w:rPr>
                <w:noProof/>
              </w:rPr>
              <w:t>(Lew et al., 2012)</w:t>
            </w:r>
            <w:r>
              <w:fldChar w:fldCharType="end"/>
            </w:r>
          </w:p>
          <w:p w14:paraId="3A59BEBC" w14:textId="77777777" w:rsidR="003B2EF3" w:rsidRDefault="003B2EF3" w:rsidP="00024485">
            <w:pPr>
              <w:pStyle w:val="Tabletext"/>
            </w:pPr>
            <w:r w:rsidRPr="00102840">
              <w:rPr>
                <w:bCs/>
              </w:rPr>
              <w:t>Carrier frequency</w:t>
            </w:r>
            <w:r>
              <w:t xml:space="preserve"> in </w:t>
            </w:r>
            <w:r w:rsidRPr="0025524C">
              <w:t xml:space="preserve">Ashkenazi Jewish population </w:t>
            </w:r>
            <w:r>
              <w:br/>
              <w:t xml:space="preserve">1:25 </w:t>
            </w:r>
          </w:p>
          <w:p w14:paraId="1FF714C1" w14:textId="77777777" w:rsidR="003B2EF3" w:rsidRPr="00FA4A2E" w:rsidRDefault="003B2EF3" w:rsidP="00024485">
            <w:pPr>
              <w:pStyle w:val="Tabletext"/>
            </w:pPr>
            <w:r w:rsidRPr="00102840">
              <w:rPr>
                <w:bCs/>
              </w:rPr>
              <w:t>Carrier frequency</w:t>
            </w:r>
            <w:r>
              <w:t xml:space="preserve"> in general population 1:250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bottom w:val="single" w:sz="4" w:space="0" w:color="auto"/>
            </w:tcBorders>
          </w:tcPr>
          <w:p w14:paraId="64E3FD83" w14:textId="77777777" w:rsidR="003B2EF3" w:rsidRDefault="003B2EF3" w:rsidP="00024485">
            <w:pPr>
              <w:pStyle w:val="Tabletext"/>
            </w:pPr>
            <w:r w:rsidRPr="004E138A">
              <w:t xml:space="preserve">More than 120 variants in the </w:t>
            </w:r>
            <w:r w:rsidRPr="00160DA0">
              <w:rPr>
                <w:rStyle w:val="Emphasis"/>
              </w:rPr>
              <w:t>HEXA</w:t>
            </w:r>
            <w:r w:rsidRPr="004E138A">
              <w:t xml:space="preserve"> gene described that reduce or eliminate the functional activity of beta-hexosaminidase A, resulting in T</w:t>
            </w:r>
            <w:r>
              <w:t xml:space="preserve">SD </w:t>
            </w:r>
            <w:r>
              <w:fldChar w:fldCharType="begin"/>
            </w:r>
            <w:r>
              <w:instrText xml:space="preserve"> ADDIN EN.CITE &lt;EndNote&gt;&lt;Cite&gt;&lt;Author&gt;NIH&lt;/Author&gt;&lt;Year&gt;2008&lt;/Year&gt;&lt;RecNum&gt;38&lt;/RecNum&gt;&lt;DisplayText&gt;(NIH, 2008)&lt;/DisplayText&gt;&lt;record&gt;&lt;rec-number&gt;38&lt;/rec-number&gt;&lt;foreign-keys&gt;&lt;key app="EN" db-id="tvd2x2aeprp90te22eox9tvxfe2a0xv0tdfs" timestamp="1623373159"&gt;38&lt;/key&gt;&lt;/foreign-keys&gt;&lt;ref-type name="Web Page"&gt;12&lt;/ref-type&gt;&lt;contributors&gt;&lt;authors&gt;&lt;author&gt;NIH&lt;/author&gt;&lt;/authors&gt;&lt;/contributors&gt;&lt;titles&gt;&lt;title&gt;HEXA gene&lt;/title&gt;&lt;secondary-title&gt;Genetics Home Reference&lt;/secondary-title&gt;&lt;/titles&gt;&lt;volume&gt;2020&lt;/volume&gt;&lt;number&gt;18th August&lt;/number&gt;&lt;dates&gt;&lt;year&gt;2008&lt;/year&gt;&lt;/dates&gt;&lt;pub-location&gt;Bethesda, Maryland, USA&lt;/pub-location&gt;&lt;publisher&gt;U.S. National Institutes of Health and National Library of Medicine&lt;/publisher&gt;&lt;urls&gt;&lt;related-urls&gt;&lt;url&gt;https://ghr.nlm.nih.gov/gene/HEXA#location&lt;/url&gt;&lt;/related-urls&gt;&lt;/urls&gt;&lt;/record&gt;&lt;/Cite&gt;&lt;/EndNote&gt;</w:instrText>
            </w:r>
            <w:r>
              <w:fldChar w:fldCharType="separate"/>
            </w:r>
            <w:r>
              <w:rPr>
                <w:noProof/>
              </w:rPr>
              <w:t>(NIH, 2008)</w:t>
            </w:r>
            <w:r>
              <w:fldChar w:fldCharType="end"/>
            </w:r>
            <w:r w:rsidRPr="004E138A">
              <w:t>.</w:t>
            </w:r>
          </w:p>
          <w:p w14:paraId="19817CC9" w14:textId="77777777" w:rsidR="003B2EF3" w:rsidRPr="00545629" w:rsidRDefault="003B2EF3" w:rsidP="00024485">
            <w:pPr>
              <w:pStyle w:val="Tabletext"/>
            </w:pPr>
            <w:r w:rsidRPr="00545629">
              <w:t xml:space="preserve">Targeted analysis </w:t>
            </w:r>
            <w:r>
              <w:t xml:space="preserve">of the </w:t>
            </w:r>
            <w:r w:rsidRPr="005A03F1">
              <w:t>6</w:t>
            </w:r>
            <w:r>
              <w:t xml:space="preserve"> most common </w:t>
            </w:r>
            <w:r w:rsidRPr="00545629">
              <w:t>pathogenic variants</w:t>
            </w:r>
            <w:r>
              <w:t xml:space="preserve">: </w:t>
            </w:r>
            <w:r>
              <w:br/>
            </w:r>
            <w:r w:rsidRPr="00511DCE">
              <w:rPr>
                <w:bCs/>
              </w:rPr>
              <w:t>3 null alleles</w:t>
            </w:r>
            <w:r>
              <w:t>:</w:t>
            </w:r>
            <w:r w:rsidRPr="00545629">
              <w:t xml:space="preserve"> </w:t>
            </w:r>
            <w:proofErr w:type="gramStart"/>
            <w:r w:rsidRPr="00545629">
              <w:t>p.Tyr</w:t>
            </w:r>
            <w:proofErr w:type="gramEnd"/>
            <w:r w:rsidRPr="00545629">
              <w:t>427IlefsTer5</w:t>
            </w:r>
            <w:r>
              <w:br/>
            </w:r>
            <w:r w:rsidRPr="00545629">
              <w:t>c.1421+1G&gt;C</w:t>
            </w:r>
            <w:r>
              <w:br/>
            </w:r>
            <w:r w:rsidRPr="00545629">
              <w:t xml:space="preserve">c.1073+G&gt;A </w:t>
            </w:r>
          </w:p>
          <w:p w14:paraId="179CD79B" w14:textId="77777777" w:rsidR="003B2EF3" w:rsidRDefault="003B2EF3" w:rsidP="00024485">
            <w:pPr>
              <w:pStyle w:val="Tabletext"/>
            </w:pPr>
            <w:r w:rsidRPr="00511DCE">
              <w:rPr>
                <w:bCs/>
              </w:rPr>
              <w:t>Adult onset</w:t>
            </w:r>
            <w:r>
              <w:br/>
            </w:r>
            <w:proofErr w:type="gramStart"/>
            <w:r w:rsidRPr="00511DCE">
              <w:t>p.Gly</w:t>
            </w:r>
            <w:proofErr w:type="gramEnd"/>
            <w:r w:rsidRPr="00511DCE">
              <w:t>269Ser</w:t>
            </w:r>
            <w:r w:rsidRPr="00545629">
              <w:t xml:space="preserve"> </w:t>
            </w:r>
          </w:p>
          <w:p w14:paraId="77080BB4" w14:textId="77777777" w:rsidR="003B2EF3" w:rsidRPr="00132ECC" w:rsidRDefault="003B2EF3" w:rsidP="00024485">
            <w:pPr>
              <w:pStyle w:val="Tabletext"/>
            </w:pPr>
            <w:r w:rsidRPr="00511DCE">
              <w:rPr>
                <w:bCs/>
              </w:rPr>
              <w:t>2 pseudo-deficiency alleles</w:t>
            </w:r>
            <w:r>
              <w:rPr>
                <w:bCs/>
              </w:rPr>
              <w:br/>
            </w:r>
            <w:r w:rsidRPr="00511DCE">
              <w:t>p.Arg247Trp</w:t>
            </w:r>
            <w:r>
              <w:br/>
            </w:r>
            <w:r w:rsidRPr="00511DCE">
              <w:t xml:space="preserve">p.Arg249Trp </w:t>
            </w:r>
            <w:r>
              <w:fldChar w:fldCharType="begin"/>
            </w:r>
            <w:r>
              <w:instrText xml:space="preserve"> ADDIN EN.CITE &lt;EndNote&gt;&lt;Cite&gt;&lt;Author&gt;Kaback&lt;/Author&gt;&lt;Year&gt;2011&lt;/Year&gt;&lt;RecNum&gt;39&lt;/RecNum&gt;&lt;DisplayText&gt;(Kaback &amp;amp; Desnick, 2011)&lt;/DisplayText&gt;&lt;record&gt;&lt;rec-number&gt;39&lt;/rec-number&gt;&lt;foreign-keys&gt;&lt;key app="EN" db-id="tvd2x2aeprp90te22eox9tvxfe2a0xv0tdfs" timestamp="1623373159"&gt;39&lt;/key&gt;&lt;/foreign-keys&gt;&lt;ref-type name="Web Page"&gt;12&lt;/ref-type&gt;&lt;contributors&gt;&lt;authors&gt;&lt;author&gt;Kaback, M.M.&lt;/author&gt;&lt;author&gt;Desnick, R.J. &lt;/author&gt;&lt;/authors&gt;&lt;secondary-authors&gt;&lt;author&gt;Adam, M.P.&lt;/author&gt;&lt;author&gt;Ardinger, H.H.&lt;/author&gt;&lt;author&gt;Pagon, R.A.&lt;/author&gt;&lt;/secondary-authors&gt;&lt;/contributors&gt;&lt;titles&gt;&lt;title&gt;Hexosaminidase A Deficiency&lt;/title&gt;&lt;secondary-title&gt;GeneReviews®&lt;/secondary-title&gt;&lt;/titles&gt;&lt;volume&gt;2020&lt;/volume&gt;&lt;number&gt;15th June&lt;/number&gt;&lt;dates&gt;&lt;year&gt;2011&lt;/year&gt;&lt;/dates&gt;&lt;pub-location&gt;Seattle&lt;/pub-location&gt;&lt;publisher&gt;University of Washington&lt;/publisher&gt;&lt;urls&gt;&lt;related-urls&gt;&lt;url&gt;https://www.ncbi.nlm.nih.gov/books/NBK1218/pdf/Bookshelf_NBK1218.pdf&lt;/url&gt;&lt;/related-urls&gt;&lt;/urls&gt;&lt;/record&gt;&lt;/Cite&gt;&lt;/EndNote&gt;</w:instrText>
            </w:r>
            <w:r>
              <w:fldChar w:fldCharType="separate"/>
            </w:r>
            <w:r>
              <w:rPr>
                <w:noProof/>
              </w:rPr>
              <w:t>(Kaback &amp; Desnick, 2011)</w:t>
            </w:r>
            <w:r>
              <w:fldChar w:fldCharType="end"/>
            </w:r>
          </w:p>
        </w:tc>
      </w:tr>
      <w:tr w:rsidR="003B2EF3" w:rsidRPr="00E82F54" w14:paraId="302442DB" w14:textId="77777777" w:rsidTr="007C3C21">
        <w:tc>
          <w:tcPr>
            <w:tcW w:w="498" w:type="pct"/>
            <w:tcBorders>
              <w:top w:val="single" w:sz="4" w:space="0" w:color="auto"/>
              <w:bottom w:val="single" w:sz="4" w:space="0" w:color="auto"/>
            </w:tcBorders>
          </w:tcPr>
          <w:p w14:paraId="6BFC5880" w14:textId="77777777" w:rsidR="003B2EF3" w:rsidRPr="00FA4A2E" w:rsidRDefault="003B2EF3" w:rsidP="00024485">
            <w:pPr>
              <w:pStyle w:val="Tabletext"/>
            </w:pPr>
            <w:bookmarkStart w:id="10" w:name="_Hlk59613818"/>
            <w:bookmarkStart w:id="11" w:name="_Hlk76561167"/>
            <w:bookmarkEnd w:id="9"/>
            <w:r w:rsidRPr="00F503C6">
              <w:t xml:space="preserve">Canavan disease </w:t>
            </w:r>
            <w:bookmarkEnd w:id="10"/>
            <w:r w:rsidRPr="00F503C6">
              <w:t>(</w:t>
            </w:r>
            <w:r>
              <w:t>CD</w:t>
            </w:r>
            <w:r w:rsidRPr="00F503C6">
              <w:t>)</w:t>
            </w:r>
            <w:bookmarkEnd w:id="11"/>
          </w:p>
        </w:tc>
        <w:tc>
          <w:tcPr>
            <w:tcW w:w="822" w:type="pct"/>
            <w:tcBorders>
              <w:top w:val="single" w:sz="4" w:space="0" w:color="auto"/>
              <w:bottom w:val="single" w:sz="4" w:space="0" w:color="auto"/>
            </w:tcBorders>
          </w:tcPr>
          <w:p w14:paraId="4ADC2966" w14:textId="77777777" w:rsidR="003B2EF3" w:rsidRPr="00FA4A2E" w:rsidRDefault="003B2EF3" w:rsidP="00024485">
            <w:pPr>
              <w:pStyle w:val="Tabletext"/>
            </w:pPr>
            <w:r w:rsidRPr="003455E4">
              <w:t>Neonatal/infantile C</w:t>
            </w:r>
            <w:r>
              <w:t>D</w:t>
            </w:r>
            <w:r w:rsidRPr="003455E4">
              <w:t xml:space="preserve"> is the most common and most severe form of the condition</w:t>
            </w:r>
            <w:r>
              <w:t>. A</w:t>
            </w:r>
            <w:r w:rsidRPr="003455E4">
              <w:t>ffected infants appear normal for the first few months of life</w:t>
            </w:r>
            <w:r>
              <w:t>; however,</w:t>
            </w:r>
            <w:r w:rsidRPr="003455E4">
              <w:t xml:space="preserve"> </w:t>
            </w:r>
            <w:r>
              <w:t xml:space="preserve">a loss of motor skills begins to develop </w:t>
            </w:r>
            <w:r w:rsidRPr="003455E4">
              <w:t>by 3</w:t>
            </w:r>
            <w:r>
              <w:t>-</w:t>
            </w:r>
            <w:r w:rsidRPr="003455E4">
              <w:t>5 months</w:t>
            </w:r>
            <w:r>
              <w:t xml:space="preserve">. Affected infants have </w:t>
            </w:r>
            <w:r>
              <w:lastRenderedPageBreak/>
              <w:t xml:space="preserve">difficulty with </w:t>
            </w:r>
            <w:r w:rsidRPr="003455E4">
              <w:t>turning over, controlling head movement, and sitting without support. Other common features include hypotonia, macrocephaly, and irritability. Feeding and swallowing difficulties, seizures, and sleep disturbances may also develop</w:t>
            </w:r>
            <w:r>
              <w:t xml:space="preserve"> </w:t>
            </w:r>
            <w:r>
              <w:fldChar w:fldCharType="begin"/>
            </w:r>
            <w:r>
              <w:instrText xml:space="preserve"> ADDIN EN.CITE &lt;EndNote&gt;&lt;Cite&gt;&lt;Author&gt;NIH&lt;/Author&gt;&lt;Year&gt;2015&lt;/Year&gt;&lt;RecNum&gt;43&lt;/RecNum&gt;&lt;DisplayText&gt;(NIH, 2015b)&lt;/DisplayText&gt;&lt;record&gt;&lt;rec-number&gt;43&lt;/rec-number&gt;&lt;foreign-keys&gt;&lt;key app="EN" db-id="tvd2x2aeprp90te22eox9tvxfe2a0xv0tdfs" timestamp="1623373159"&gt;43&lt;/key&gt;&lt;/foreign-keys&gt;&lt;ref-type name="Web Page"&gt;12&lt;/ref-type&gt;&lt;contributors&gt;&lt;authors&gt;&lt;author&gt;NIH&lt;/author&gt;&lt;/authors&gt;&lt;/contributors&gt;&lt;titles&gt;&lt;title&gt;Canavan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Medicine&lt;/publisher&gt;&lt;urls&gt;&lt;related-urls&gt;&lt;url&gt;https://ghr.nlm.nih.gov/condition/canavan-disease&lt;/url&gt;&lt;/related-urls&gt;&lt;/urls&gt;&lt;/record&gt;&lt;/Cite&gt;&lt;/EndNote&gt;</w:instrText>
            </w:r>
            <w:r>
              <w:fldChar w:fldCharType="separate"/>
            </w:r>
            <w:r>
              <w:rPr>
                <w:noProof/>
              </w:rPr>
              <w:t>(NIH, 2015b)</w:t>
            </w:r>
            <w:r>
              <w:fldChar w:fldCharType="end"/>
            </w:r>
            <w:r>
              <w:t>.</w:t>
            </w:r>
          </w:p>
        </w:tc>
        <w:tc>
          <w:tcPr>
            <w:tcW w:w="864" w:type="pct"/>
            <w:tcBorders>
              <w:top w:val="single" w:sz="4" w:space="0" w:color="auto"/>
              <w:bottom w:val="single" w:sz="4" w:space="0" w:color="auto"/>
            </w:tcBorders>
          </w:tcPr>
          <w:p w14:paraId="7B2D147A" w14:textId="77777777" w:rsidR="003B2EF3" w:rsidRPr="00FA4A2E" w:rsidRDefault="003B2EF3" w:rsidP="00024485">
            <w:pPr>
              <w:pStyle w:val="Tabletext"/>
            </w:pPr>
            <w:r w:rsidRPr="00FA4A2E">
              <w:lastRenderedPageBreak/>
              <w:t>Autosomal recessive.</w:t>
            </w:r>
            <w:r>
              <w:t xml:space="preserve"> Carriers </w:t>
            </w:r>
            <w:r w:rsidRPr="004E138A">
              <w:t xml:space="preserve">typically do not show signs </w:t>
            </w:r>
            <w:r>
              <w:t xml:space="preserve">or </w:t>
            </w:r>
            <w:r w:rsidRPr="004E138A">
              <w:t xml:space="preserve">symptoms of </w:t>
            </w:r>
            <w:r>
              <w:t>CD</w:t>
            </w:r>
            <w:r w:rsidRPr="004E138A">
              <w:t>.</w:t>
            </w:r>
          </w:p>
          <w:p w14:paraId="0B779824" w14:textId="33D7A49D" w:rsidR="003B2EF3" w:rsidRPr="00FA4A2E" w:rsidRDefault="003B2EF3" w:rsidP="00024485">
            <w:pPr>
              <w:pStyle w:val="Tabletext"/>
            </w:pPr>
            <w:r>
              <w:t xml:space="preserve">Caused by </w:t>
            </w:r>
            <w:r w:rsidR="00E90162">
              <w:t xml:space="preserve">variants </w:t>
            </w:r>
            <w:r w:rsidR="00E90162" w:rsidRPr="00C314B7">
              <w:t>in</w:t>
            </w:r>
            <w:r w:rsidRPr="00C314B7">
              <w:t xml:space="preserve"> the </w:t>
            </w:r>
            <w:r w:rsidRPr="00C314B7">
              <w:rPr>
                <w:i/>
                <w:iCs/>
              </w:rPr>
              <w:t>ASPA</w:t>
            </w:r>
            <w:r w:rsidRPr="00C314B7">
              <w:t xml:space="preserve"> gene</w:t>
            </w:r>
            <w:r>
              <w:t xml:space="preserve">, which codes for </w:t>
            </w:r>
            <w:proofErr w:type="spellStart"/>
            <w:r w:rsidRPr="00C314B7">
              <w:t>aspartoacylase</w:t>
            </w:r>
            <w:proofErr w:type="spellEnd"/>
            <w:r>
              <w:t>, an</w:t>
            </w:r>
            <w:r w:rsidRPr="00C314B7">
              <w:t xml:space="preserve"> enzyme </w:t>
            </w:r>
            <w:r>
              <w:t xml:space="preserve">that </w:t>
            </w:r>
            <w:r w:rsidRPr="00C314B7">
              <w:t xml:space="preserve">breaks down </w:t>
            </w:r>
            <w:bookmarkStart w:id="12" w:name="_Hlk76561185"/>
            <w:r w:rsidRPr="00C314B7">
              <w:t xml:space="preserve">N-acetyl-L-aspartic </w:t>
            </w:r>
            <w:r w:rsidRPr="00C314B7">
              <w:lastRenderedPageBreak/>
              <w:t>acid (NAA</w:t>
            </w:r>
            <w:bookmarkEnd w:id="12"/>
            <w:r w:rsidRPr="00C314B7">
              <w:t>)</w:t>
            </w:r>
            <w:r>
              <w:t xml:space="preserve">. NAA is found </w:t>
            </w:r>
            <w:r w:rsidRPr="00C314B7">
              <w:t>predominantly in neurons in the brain</w:t>
            </w:r>
            <w:r>
              <w:t>; however, its role is currently</w:t>
            </w:r>
            <w:r w:rsidRPr="00C314B7">
              <w:t xml:space="preserve"> unclear</w:t>
            </w:r>
            <w:r>
              <w:t xml:space="preserve">. </w:t>
            </w:r>
            <w:r w:rsidRPr="00C314B7">
              <w:t xml:space="preserve">Mutations in the </w:t>
            </w:r>
            <w:r w:rsidRPr="00160DA0">
              <w:rPr>
                <w:rStyle w:val="Emphasis"/>
              </w:rPr>
              <w:t xml:space="preserve">ASPA </w:t>
            </w:r>
            <w:r w:rsidRPr="00C314B7">
              <w:t xml:space="preserve">gene reduce the function of </w:t>
            </w:r>
            <w:proofErr w:type="spellStart"/>
            <w:r w:rsidRPr="00C314B7">
              <w:t>aspartoacylase</w:t>
            </w:r>
            <w:proofErr w:type="spellEnd"/>
            <w:r w:rsidRPr="00C314B7">
              <w:t>, prevent</w:t>
            </w:r>
            <w:r>
              <w:t>ing</w:t>
            </w:r>
            <w:r w:rsidRPr="00C314B7">
              <w:t xml:space="preserve"> the breakdown of NAA</w:t>
            </w:r>
            <w:r>
              <w:t xml:space="preserve">, leading to a build-up of NAA and subsequent impairment of enzyme activity. High levels of NAA build up in the </w:t>
            </w:r>
            <w:r w:rsidRPr="00C314B7">
              <w:t>neonatal/infantile form of C</w:t>
            </w:r>
            <w:r>
              <w:t>D, with lower levels in the milder, juvenile form. The</w:t>
            </w:r>
            <w:r w:rsidRPr="00C314B7">
              <w:t xml:space="preserve"> build-up of NAA leads to the progressive destruction of existing myelin sheaths</w:t>
            </w:r>
            <w:r>
              <w:t xml:space="preserve">, causing </w:t>
            </w:r>
            <w:r w:rsidRPr="00C314B7">
              <w:t>malfunction</w:t>
            </w:r>
            <w:r>
              <w:t xml:space="preserve"> of nerves, </w:t>
            </w:r>
            <w:r w:rsidRPr="00C314B7">
              <w:t>which disrupts normal brain development</w:t>
            </w:r>
            <w:r>
              <w:t xml:space="preserve"> </w:t>
            </w:r>
            <w:r>
              <w:fldChar w:fldCharType="begin"/>
            </w:r>
            <w:r>
              <w:instrText xml:space="preserve"> ADDIN EN.CITE &lt;EndNote&gt;&lt;Cite&gt;&lt;Author&gt;NIH&lt;/Author&gt;&lt;Year&gt;2015&lt;/Year&gt;&lt;RecNum&gt;43&lt;/RecNum&gt;&lt;DisplayText&gt;(NIH, 2015b)&lt;/DisplayText&gt;&lt;record&gt;&lt;rec-number&gt;43&lt;/rec-number&gt;&lt;foreign-keys&gt;&lt;key app="EN" db-id="tvd2x2aeprp90te22eox9tvxfe2a0xv0tdfs" timestamp="1623373159"&gt;43&lt;/key&gt;&lt;/foreign-keys&gt;&lt;ref-type name="Web Page"&gt;12&lt;/ref-type&gt;&lt;contributors&gt;&lt;authors&gt;&lt;author&gt;NIH&lt;/author&gt;&lt;/authors&gt;&lt;/contributors&gt;&lt;titles&gt;&lt;title&gt;Canavan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Medicine&lt;/publisher&gt;&lt;urls&gt;&lt;related-urls&gt;&lt;url&gt;https://ghr.nlm.nih.gov/condition/canavan-disease&lt;/url&gt;&lt;/related-urls&gt;&lt;/urls&gt;&lt;/record&gt;&lt;/Cite&gt;&lt;/EndNote&gt;</w:instrText>
            </w:r>
            <w:r>
              <w:fldChar w:fldCharType="separate"/>
            </w:r>
            <w:r>
              <w:rPr>
                <w:noProof/>
              </w:rPr>
              <w:t>(NIH, 2015b)</w:t>
            </w:r>
            <w:r>
              <w:fldChar w:fldCharType="end"/>
            </w:r>
            <w:r>
              <w:t>.</w:t>
            </w:r>
          </w:p>
        </w:tc>
        <w:tc>
          <w:tcPr>
            <w:tcW w:w="1016" w:type="pct"/>
            <w:tcBorders>
              <w:top w:val="single" w:sz="4" w:space="0" w:color="auto"/>
              <w:bottom w:val="single" w:sz="4" w:space="0" w:color="auto"/>
            </w:tcBorders>
          </w:tcPr>
          <w:p w14:paraId="06144E76" w14:textId="77777777" w:rsidR="003B2EF3" w:rsidRDefault="003B2EF3" w:rsidP="00024485">
            <w:pPr>
              <w:pStyle w:val="Tabletext"/>
            </w:pPr>
            <w:r w:rsidRPr="00FA4A2E">
              <w:lastRenderedPageBreak/>
              <w:t xml:space="preserve">No cure. </w:t>
            </w:r>
          </w:p>
          <w:p w14:paraId="5412ACE1" w14:textId="77777777" w:rsidR="003B2EF3" w:rsidRDefault="003B2EF3" w:rsidP="00024485">
            <w:pPr>
              <w:pStyle w:val="Tabletext"/>
            </w:pPr>
            <w:r>
              <w:t xml:space="preserve">The </w:t>
            </w:r>
            <w:r w:rsidRPr="00BD4168">
              <w:t xml:space="preserve">average life expectancy for infants affected </w:t>
            </w:r>
            <w:r>
              <w:t>with n</w:t>
            </w:r>
            <w:r w:rsidRPr="00BD4168">
              <w:t>eonatal/infantile CD is 18 months</w:t>
            </w:r>
            <w:r>
              <w:t xml:space="preserve">, </w:t>
            </w:r>
            <w:r w:rsidRPr="00AC1311">
              <w:t xml:space="preserve">although some </w:t>
            </w:r>
            <w:r>
              <w:t xml:space="preserve">individuals may </w:t>
            </w:r>
            <w:r w:rsidRPr="00AC1311">
              <w:t>survive into adolescence or beyond</w:t>
            </w:r>
            <w:r>
              <w:t xml:space="preserve">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w:t>
            </w:r>
            <w:r w:rsidRPr="00AC1311">
              <w:t xml:space="preserve"> </w:t>
            </w:r>
          </w:p>
          <w:p w14:paraId="6B7F0D6D" w14:textId="77777777" w:rsidR="003B2EF3" w:rsidRDefault="003B2EF3" w:rsidP="00024485">
            <w:pPr>
              <w:pStyle w:val="Tabletext"/>
            </w:pPr>
            <w:r>
              <w:lastRenderedPageBreak/>
              <w:t>T</w:t>
            </w:r>
            <w:r w:rsidRPr="00AC1311">
              <w:t>he mild</w:t>
            </w:r>
            <w:r>
              <w:t xml:space="preserve">er, </w:t>
            </w:r>
            <w:r w:rsidRPr="00AC1311">
              <w:t>juvenile form do</w:t>
            </w:r>
            <w:r>
              <w:t>es</w:t>
            </w:r>
            <w:r w:rsidRPr="00AC1311">
              <w:t xml:space="preserve"> not </w:t>
            </w:r>
            <w:r>
              <w:t>usually</w:t>
            </w:r>
            <w:r w:rsidRPr="00AC1311">
              <w:t xml:space="preserve"> </w:t>
            </w:r>
            <w:r>
              <w:t xml:space="preserve">result in </w:t>
            </w:r>
            <w:r w:rsidRPr="00AC1311">
              <w:t>a shortened lifespan</w:t>
            </w:r>
            <w:r>
              <w:t xml:space="preserve"> </w:t>
            </w:r>
            <w:r>
              <w:fldChar w:fldCharType="begin"/>
            </w:r>
            <w:r>
              <w:instrText xml:space="preserve"> ADDIN EN.CITE &lt;EndNote&gt;&lt;Cite&gt;&lt;Author&gt;NIH&lt;/Author&gt;&lt;Year&gt;2015&lt;/Year&gt;&lt;RecNum&gt;43&lt;/RecNum&gt;&lt;DisplayText&gt;(NIH, 2015b)&lt;/DisplayText&gt;&lt;record&gt;&lt;rec-number&gt;43&lt;/rec-number&gt;&lt;foreign-keys&gt;&lt;key app="EN" db-id="tvd2x2aeprp90te22eox9tvxfe2a0xv0tdfs" timestamp="1623373159"&gt;43&lt;/key&gt;&lt;/foreign-keys&gt;&lt;ref-type name="Web Page"&gt;12&lt;/ref-type&gt;&lt;contributors&gt;&lt;authors&gt;&lt;author&gt;NIH&lt;/author&gt;&lt;/authors&gt;&lt;/contributors&gt;&lt;titles&gt;&lt;title&gt;Canavan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Medicine&lt;/publisher&gt;&lt;urls&gt;&lt;related-urls&gt;&lt;url&gt;https://ghr.nlm.nih.gov/condition/canavan-disease&lt;/url&gt;&lt;/related-urls&gt;&lt;/urls&gt;&lt;/record&gt;&lt;/Cite&gt;&lt;/EndNote&gt;</w:instrText>
            </w:r>
            <w:r>
              <w:fldChar w:fldCharType="separate"/>
            </w:r>
            <w:r>
              <w:rPr>
                <w:noProof/>
              </w:rPr>
              <w:t>(NIH, 2015b)</w:t>
            </w:r>
            <w:r>
              <w:fldChar w:fldCharType="end"/>
            </w:r>
            <w:r>
              <w:t>.</w:t>
            </w:r>
          </w:p>
          <w:p w14:paraId="0432F8B3" w14:textId="77777777" w:rsidR="003B2EF3" w:rsidRDefault="003B2EF3" w:rsidP="00024485">
            <w:pPr>
              <w:pStyle w:val="Tabletext"/>
            </w:pPr>
            <w:r>
              <w:t xml:space="preserve">Once diagnosed, patients will usually undergo a brain </w:t>
            </w:r>
            <w:r w:rsidRPr="00646D30">
              <w:t xml:space="preserve">MRI </w:t>
            </w:r>
            <w:r>
              <w:t>and n</w:t>
            </w:r>
            <w:r w:rsidRPr="00646D30">
              <w:t>eurologic</w:t>
            </w:r>
            <w:r>
              <w:t>, d</w:t>
            </w:r>
            <w:r w:rsidRPr="00646D30">
              <w:t xml:space="preserve">evelopmental </w:t>
            </w:r>
            <w:r>
              <w:t>and o</w:t>
            </w:r>
            <w:r w:rsidRPr="00646D30">
              <w:t>phthalmologic assessment</w:t>
            </w:r>
            <w:r>
              <w:t xml:space="preserve">s </w:t>
            </w:r>
            <w:r>
              <w:fldChar w:fldCharType="begin"/>
            </w:r>
            <w:r>
              <w:instrText xml:space="preserve"> ADDIN EN.CITE &lt;EndNote&gt;&lt;Cite&gt;&lt;Author&gt;Matalon&lt;/Author&gt;&lt;Year&gt;2018&lt;/Year&gt;&lt;RecNum&gt;44&lt;/RecNum&gt;&lt;DisplayText&gt;(Matalon, Delgado, &amp;amp; Michals-Matalon, 2018)&lt;/DisplayText&gt;&lt;record&gt;&lt;rec-number&gt;44&lt;/rec-number&gt;&lt;foreign-keys&gt;&lt;key app="EN" db-id="tvd2x2aeprp90te22eox9tvxfe2a0xv0tdfs" timestamp="1623373159"&gt;44&lt;/key&gt;&lt;/foreign-keys&gt;&lt;ref-type name="Web Page"&gt;12&lt;/ref-type&gt;&lt;contributors&gt;&lt;authors&gt;&lt;author&gt;Matalon, R.&lt;/author&gt;&lt;author&gt;Delgado, L.&lt;/author&gt;&lt;author&gt;Michals-Matalon, K.&lt;/author&gt;&lt;/authors&gt;&lt;secondary-authors&gt;&lt;author&gt;Adam, M.P.&lt;/author&gt;&lt;author&gt;Ardinger, H.H.&lt;/author&gt;&lt;author&gt;Pagon, R.A.&lt;/author&gt;&lt;/secondary-authors&gt;&lt;/contributors&gt;&lt;titles&gt;&lt;title&gt;Canavan Disease&lt;/title&gt;&lt;secondary-title&gt;GeneReviews®&lt;/secondary-title&gt;&lt;/titles&gt;&lt;volume&gt;2020&lt;/volume&gt;&lt;number&gt;19th August&lt;/number&gt;&lt;dates&gt;&lt;year&gt;2018&lt;/year&gt;&lt;/dates&gt;&lt;pub-location&gt;Seattle&lt;/pub-location&gt;&lt;publisher&gt;University of Washington&lt;/publisher&gt;&lt;urls&gt;&lt;related-urls&gt;&lt;url&gt;https://www.ncbi.nlm.nih.gov/books/NBK1234/&lt;/url&gt;&lt;/related-urls&gt;&lt;/urls&gt;&lt;/record&gt;&lt;/Cite&gt;&lt;/EndNote&gt;</w:instrText>
            </w:r>
            <w:r>
              <w:fldChar w:fldCharType="separate"/>
            </w:r>
            <w:r>
              <w:rPr>
                <w:noProof/>
              </w:rPr>
              <w:t>(Matalon, Delgado, &amp; Michals-Matalon, 2018)</w:t>
            </w:r>
            <w:r>
              <w:fldChar w:fldCharType="end"/>
            </w:r>
            <w:r>
              <w:t>.</w:t>
            </w:r>
          </w:p>
          <w:p w14:paraId="327BA64C" w14:textId="77777777" w:rsidR="003B2EF3" w:rsidRPr="00FA4A2E" w:rsidRDefault="003B2EF3" w:rsidP="00024485">
            <w:pPr>
              <w:pStyle w:val="Tabletext"/>
            </w:pPr>
            <w:r>
              <w:t>Treatment of n</w:t>
            </w:r>
            <w:r w:rsidRPr="00DB5BDA">
              <w:t>eonatal/infantile C</w:t>
            </w:r>
            <w:r>
              <w:t>D</w:t>
            </w:r>
            <w:r w:rsidRPr="00DB5BDA">
              <w:t xml:space="preserve"> is supportive</w:t>
            </w:r>
            <w:r>
              <w:t xml:space="preserve">, aiming to provide </w:t>
            </w:r>
            <w:r w:rsidRPr="00DB5BDA">
              <w:t xml:space="preserve">adequate nutrition and hydration, managing infectious diseases, and protecting the airway. Physical therapy </w:t>
            </w:r>
            <w:r>
              <w:t xml:space="preserve">may </w:t>
            </w:r>
            <w:r w:rsidRPr="00DB5BDA">
              <w:t>minimi</w:t>
            </w:r>
            <w:r>
              <w:t>s</w:t>
            </w:r>
            <w:r w:rsidRPr="00DB5BDA">
              <w:t>e contractures and maximi</w:t>
            </w:r>
            <w:r>
              <w:t>s</w:t>
            </w:r>
            <w:r w:rsidRPr="00DB5BDA">
              <w:t xml:space="preserve">e motor </w:t>
            </w:r>
            <w:r>
              <w:t>function.</w:t>
            </w:r>
            <w:r w:rsidRPr="00DB5BDA">
              <w:t xml:space="preserve"> Seizures </w:t>
            </w:r>
            <w:r>
              <w:t xml:space="preserve">can be </w:t>
            </w:r>
            <w:r w:rsidRPr="00DB5BDA">
              <w:t>treated with antiepileptic drugs</w:t>
            </w:r>
            <w:r>
              <w:t xml:space="preserve"> </w:t>
            </w:r>
            <w:r>
              <w:fldChar w:fldCharType="begin"/>
            </w:r>
            <w:r>
              <w:instrText xml:space="preserve"> ADDIN EN.CITE &lt;EndNote&gt;&lt;Cite&gt;&lt;Author&gt;Matalon&lt;/Author&gt;&lt;Year&gt;2018&lt;/Year&gt;&lt;RecNum&gt;44&lt;/RecNum&gt;&lt;DisplayText&gt;(Matalon et al., 2018)&lt;/DisplayText&gt;&lt;record&gt;&lt;rec-number&gt;44&lt;/rec-number&gt;&lt;foreign-keys&gt;&lt;key app="EN" db-id="tvd2x2aeprp90te22eox9tvxfe2a0xv0tdfs" timestamp="1623373159"&gt;44&lt;/key&gt;&lt;/foreign-keys&gt;&lt;ref-type name="Web Page"&gt;12&lt;/ref-type&gt;&lt;contributors&gt;&lt;authors&gt;&lt;author&gt;Matalon, R.&lt;/author&gt;&lt;author&gt;Delgado, L.&lt;/author&gt;&lt;author&gt;Michals-Matalon, K.&lt;/author&gt;&lt;/authors&gt;&lt;secondary-authors&gt;&lt;author&gt;Adam, M.P.&lt;/author&gt;&lt;author&gt;Ardinger, H.H.&lt;/author&gt;&lt;author&gt;Pagon, R.A.&lt;/author&gt;&lt;/secondary-authors&gt;&lt;/contributors&gt;&lt;titles&gt;&lt;title&gt;Canavan Disease&lt;/title&gt;&lt;secondary-title&gt;GeneReviews®&lt;/secondary-title&gt;&lt;/titles&gt;&lt;volume&gt;2020&lt;/volume&gt;&lt;number&gt;19th August&lt;/number&gt;&lt;dates&gt;&lt;year&gt;2018&lt;/year&gt;&lt;/dates&gt;&lt;pub-location&gt;Seattle&lt;/pub-location&gt;&lt;publisher&gt;University of Washington&lt;/publisher&gt;&lt;urls&gt;&lt;related-urls&gt;&lt;url&gt;https://www.ncbi.nlm.nih.gov/books/NBK1234/&lt;/url&gt;&lt;/related-urls&gt;&lt;/urls&gt;&lt;/record&gt;&lt;/Cite&gt;&lt;/EndNote&gt;</w:instrText>
            </w:r>
            <w:r>
              <w:fldChar w:fldCharType="separate"/>
            </w:r>
            <w:r>
              <w:rPr>
                <w:noProof/>
              </w:rPr>
              <w:t>(Matalon et al., 2018)</w:t>
            </w:r>
            <w:r>
              <w:fldChar w:fldCharType="end"/>
            </w:r>
            <w:r>
              <w:t>.</w:t>
            </w:r>
          </w:p>
        </w:tc>
        <w:tc>
          <w:tcPr>
            <w:tcW w:w="674" w:type="pct"/>
            <w:tcBorders>
              <w:top w:val="single" w:sz="4" w:space="0" w:color="auto"/>
              <w:bottom w:val="single" w:sz="4" w:space="0" w:color="auto"/>
            </w:tcBorders>
          </w:tcPr>
          <w:p w14:paraId="4CA77F16" w14:textId="77777777" w:rsidR="003B2EF3" w:rsidRDefault="003B2EF3" w:rsidP="00024485">
            <w:pPr>
              <w:pStyle w:val="Tabletext"/>
            </w:pPr>
            <w:r w:rsidRPr="00102840">
              <w:rPr>
                <w:bCs/>
              </w:rPr>
              <w:lastRenderedPageBreak/>
              <w:t>Prevalence</w:t>
            </w:r>
            <w:r>
              <w:rPr>
                <w:highlight w:val="yellow"/>
              </w:rPr>
              <w:br/>
            </w:r>
            <w:r w:rsidRPr="001456F1">
              <w:t>1 in 6,400 to 13,500</w:t>
            </w:r>
            <w:r>
              <w:t xml:space="preserve"> </w:t>
            </w:r>
            <w:r>
              <w:fldChar w:fldCharType="begin"/>
            </w:r>
            <w:r>
              <w:instrText xml:space="preserve"> ADDIN EN.CITE &lt;EndNote&gt;&lt;Cite&gt;&lt;Author&gt;NIH&lt;/Author&gt;&lt;Year&gt;2015&lt;/Year&gt;&lt;RecNum&gt;43&lt;/RecNum&gt;&lt;DisplayText&gt;(NIH, 2015b)&lt;/DisplayText&gt;&lt;record&gt;&lt;rec-number&gt;43&lt;/rec-number&gt;&lt;foreign-keys&gt;&lt;key app="EN" db-id="tvd2x2aeprp90te22eox9tvxfe2a0xv0tdfs" timestamp="1623373159"&gt;43&lt;/key&gt;&lt;/foreign-keys&gt;&lt;ref-type name="Web Page"&gt;12&lt;/ref-type&gt;&lt;contributors&gt;&lt;authors&gt;&lt;author&gt;NIH&lt;/author&gt;&lt;/authors&gt;&lt;/contributors&gt;&lt;titles&gt;&lt;title&gt;Canavan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Medicine&lt;/publisher&gt;&lt;urls&gt;&lt;related-urls&gt;&lt;url&gt;https://ghr.nlm.nih.gov/condition/canavan-disease&lt;/url&gt;&lt;/related-urls&gt;&lt;/urls&gt;&lt;/record&gt;&lt;/Cite&gt;&lt;/EndNote&gt;</w:instrText>
            </w:r>
            <w:r>
              <w:fldChar w:fldCharType="separate"/>
            </w:r>
            <w:r>
              <w:rPr>
                <w:noProof/>
              </w:rPr>
              <w:t>(NIH, 2015b)</w:t>
            </w:r>
            <w:r>
              <w:fldChar w:fldCharType="end"/>
            </w:r>
          </w:p>
          <w:p w14:paraId="50C341CA" w14:textId="77777777" w:rsidR="003B2EF3" w:rsidRPr="00FA4A2E" w:rsidRDefault="003B2EF3" w:rsidP="00024485">
            <w:pPr>
              <w:pStyle w:val="Tabletext"/>
            </w:pPr>
            <w:r w:rsidRPr="00BD4168">
              <w:rPr>
                <w:bCs/>
              </w:rPr>
              <w:t>Carrier frequency</w:t>
            </w:r>
            <w:r>
              <w:rPr>
                <w:bCs/>
              </w:rPr>
              <w:br/>
            </w:r>
            <w:r>
              <w:t xml:space="preserve">1:40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top w:val="single" w:sz="4" w:space="0" w:color="auto"/>
              <w:bottom w:val="single" w:sz="4" w:space="0" w:color="auto"/>
            </w:tcBorders>
          </w:tcPr>
          <w:p w14:paraId="6DBFB134" w14:textId="27562683" w:rsidR="003B2EF3" w:rsidRDefault="003B2EF3" w:rsidP="00024485">
            <w:pPr>
              <w:pStyle w:val="Tabletext"/>
            </w:pPr>
            <w:r w:rsidRPr="002E20E1">
              <w:t xml:space="preserve">In </w:t>
            </w:r>
            <w:r w:rsidR="00666B40" w:rsidRPr="0025524C">
              <w:t>Ashkenazi Jewish</w:t>
            </w:r>
            <w:r w:rsidR="00666B40" w:rsidRPr="002E20E1">
              <w:t xml:space="preserve"> </w:t>
            </w:r>
            <w:r w:rsidRPr="002E20E1">
              <w:t xml:space="preserve">populations, 97% of CD is caused by </w:t>
            </w:r>
            <w:r>
              <w:t xml:space="preserve">2 pathogenic variants in the </w:t>
            </w:r>
            <w:r w:rsidRPr="00160DA0">
              <w:rPr>
                <w:rStyle w:val="Emphasis"/>
              </w:rPr>
              <w:t xml:space="preserve">ASPA </w:t>
            </w:r>
            <w:r w:rsidRPr="00C314B7">
              <w:t>gene</w:t>
            </w:r>
            <w:r>
              <w:t>:</w:t>
            </w:r>
          </w:p>
          <w:p w14:paraId="6DFE1B63" w14:textId="77777777" w:rsidR="003B2EF3" w:rsidRDefault="003B2EF3" w:rsidP="00024485">
            <w:pPr>
              <w:pStyle w:val="Tabletext"/>
            </w:pPr>
            <w:r w:rsidRPr="00944F3A">
              <w:rPr>
                <w:bCs/>
              </w:rPr>
              <w:t>Missense mutation</w:t>
            </w:r>
            <w:r w:rsidRPr="002E20E1">
              <w:t xml:space="preserve"> c.854A&gt;C</w:t>
            </w:r>
            <w:r>
              <w:br/>
            </w:r>
            <w:r w:rsidRPr="002E20E1">
              <w:t>(</w:t>
            </w:r>
            <w:proofErr w:type="gramStart"/>
            <w:r w:rsidRPr="002E20E1">
              <w:t>p.Glu</w:t>
            </w:r>
            <w:proofErr w:type="gramEnd"/>
            <w:r w:rsidRPr="002E20E1">
              <w:t xml:space="preserve">285Ala) </w:t>
            </w:r>
          </w:p>
          <w:p w14:paraId="486D9CC6" w14:textId="77777777" w:rsidR="003B2EF3" w:rsidRPr="00132ECC" w:rsidRDefault="003B2EF3" w:rsidP="00024485">
            <w:pPr>
              <w:pStyle w:val="Tabletext"/>
            </w:pPr>
            <w:r w:rsidRPr="00944F3A">
              <w:rPr>
                <w:bCs/>
              </w:rPr>
              <w:t>Nonsense mutation</w:t>
            </w:r>
            <w:r w:rsidRPr="002E20E1">
              <w:t xml:space="preserve"> c.693C&gt;A</w:t>
            </w:r>
            <w:r>
              <w:br/>
            </w:r>
            <w:r w:rsidRPr="002E20E1">
              <w:t>(p.Tyr231ter)</w:t>
            </w:r>
            <w:r>
              <w:t xml:space="preserve">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r>
      <w:tr w:rsidR="003B2EF3" w:rsidRPr="00E82F54" w14:paraId="7DBE2ED4" w14:textId="77777777" w:rsidTr="007C3C21">
        <w:tc>
          <w:tcPr>
            <w:tcW w:w="498" w:type="pct"/>
            <w:tcBorders>
              <w:top w:val="single" w:sz="4" w:space="0" w:color="auto"/>
              <w:bottom w:val="single" w:sz="4" w:space="0" w:color="auto"/>
            </w:tcBorders>
          </w:tcPr>
          <w:p w14:paraId="7A2586C0" w14:textId="15E4A6D3" w:rsidR="003B2EF3" w:rsidRPr="00F503C6" w:rsidRDefault="003B2EF3" w:rsidP="00024485">
            <w:pPr>
              <w:pStyle w:val="Tabletext"/>
            </w:pPr>
            <w:bookmarkStart w:id="13" w:name="_Hlk76561150"/>
            <w:r w:rsidRPr="00F503C6">
              <w:t xml:space="preserve">Familial dysautonomia </w:t>
            </w:r>
            <w:bookmarkEnd w:id="13"/>
            <w:r w:rsidR="00596D38">
              <w:t>(FD)</w:t>
            </w:r>
          </w:p>
        </w:tc>
        <w:tc>
          <w:tcPr>
            <w:tcW w:w="822" w:type="pct"/>
            <w:tcBorders>
              <w:top w:val="single" w:sz="4" w:space="0" w:color="auto"/>
              <w:bottom w:val="single" w:sz="4" w:space="0" w:color="auto"/>
            </w:tcBorders>
          </w:tcPr>
          <w:p w14:paraId="0CAF60A0" w14:textId="77777777" w:rsidR="003B2EF3" w:rsidRPr="00160DA0" w:rsidRDefault="003B2EF3" w:rsidP="00024485">
            <w:pPr>
              <w:pStyle w:val="Tabletext"/>
            </w:pPr>
            <w:r>
              <w:t>FD affects</w:t>
            </w:r>
            <w:r w:rsidRPr="00160DA0">
              <w:t xml:space="preserve"> cells </w:t>
            </w:r>
            <w:r>
              <w:t>of</w:t>
            </w:r>
            <w:r w:rsidRPr="00160DA0">
              <w:t xml:space="preserve"> the autonomic nervous system, </w:t>
            </w:r>
            <w:r>
              <w:t>responsible for</w:t>
            </w:r>
            <w:r w:rsidRPr="00160DA0">
              <w:t xml:space="preserve"> control</w:t>
            </w:r>
            <w:r>
              <w:t>ling</w:t>
            </w:r>
            <w:r w:rsidRPr="00160DA0">
              <w:t xml:space="preserve"> involuntary actions such as digestion, breathing, </w:t>
            </w:r>
            <w:r>
              <w:t xml:space="preserve">tear </w:t>
            </w:r>
            <w:r w:rsidRPr="00160DA0">
              <w:t xml:space="preserve">production, and regulation of blood pressure and body temperature. </w:t>
            </w:r>
            <w:r>
              <w:t>FD</w:t>
            </w:r>
            <w:r w:rsidRPr="00160DA0">
              <w:t xml:space="preserve"> also affects the sensory nervous system, which controls activities such as taste and the perception of pain, heat, and cold</w:t>
            </w:r>
            <w:r>
              <w:t xml:space="preserve"> </w:t>
            </w:r>
            <w:r>
              <w:fldChar w:fldCharType="begin"/>
            </w:r>
            <w:r>
              <w:instrText xml:space="preserve"> ADDIN EN.CITE &lt;EndNote&gt;&lt;Cite&gt;&lt;Author&gt;NIH&lt;/Author&gt;&lt;Year&gt;2013&lt;/Year&gt;&lt;RecNum&gt;45&lt;/RecNum&gt;&lt;DisplayText&gt;(NIH, 2013a)&lt;/DisplayText&gt;&lt;record&gt;&lt;rec-number&gt;45&lt;/rec-number&gt;&lt;foreign-keys&gt;&lt;key app="EN" db-id="tvd2x2aeprp90te22eox9tvxfe2a0xv0tdfs" timestamp="1623373159"&gt;45&lt;/key&gt;&lt;/foreign-keys&gt;&lt;ref-type name="Web Page"&gt;12&lt;/ref-type&gt;&lt;contributors&gt;&lt;authors&gt;&lt;author&gt;NIH&lt;/author&gt;&lt;/authors&gt;&lt;/contributors&gt;&lt;titles&gt;&lt;title&gt;Familial dysautonomia&lt;/title&gt;&lt;secondary-title&gt;Genetics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Medicine&lt;/publisher&gt;&lt;urls&gt;&lt;related-urls&gt;&lt;url&gt;https://ghr.nlm.nih.gov/condition/familial-dysautonomia&lt;/url&gt;&lt;/related-urls&gt;&lt;/urls&gt;&lt;/record&gt;&lt;/Cite&gt;&lt;/EndNote&gt;</w:instrText>
            </w:r>
            <w:r>
              <w:fldChar w:fldCharType="separate"/>
            </w:r>
            <w:r>
              <w:rPr>
                <w:noProof/>
              </w:rPr>
              <w:t>(NIH, 2013a)</w:t>
            </w:r>
            <w:r>
              <w:fldChar w:fldCharType="end"/>
            </w:r>
            <w:r>
              <w:t>.</w:t>
            </w:r>
          </w:p>
          <w:p w14:paraId="3F1A8AC1" w14:textId="441DD699" w:rsidR="003B2EF3" w:rsidRPr="00FA4A2E" w:rsidRDefault="003B2EF3" w:rsidP="00024485">
            <w:pPr>
              <w:pStyle w:val="Tabletext"/>
            </w:pPr>
            <w:r>
              <w:t xml:space="preserve">FD usually manifests </w:t>
            </w:r>
            <w:r w:rsidRPr="00160DA0">
              <w:t>during infancy</w:t>
            </w:r>
            <w:r>
              <w:t xml:space="preserve">, with early </w:t>
            </w:r>
            <w:r w:rsidRPr="00160DA0">
              <w:t>symptoms includ</w:t>
            </w:r>
            <w:r>
              <w:t>ing</w:t>
            </w:r>
            <w:r w:rsidRPr="00160DA0">
              <w:t xml:space="preserve"> hypotonia, feeding </w:t>
            </w:r>
            <w:r w:rsidRPr="00160DA0">
              <w:lastRenderedPageBreak/>
              <w:t xml:space="preserve">difficulties, poor growth, lack of tears, frequent lung infections, and difficulty maintaining body temperature. Developmental </w:t>
            </w:r>
            <w:r>
              <w:t xml:space="preserve">and motor </w:t>
            </w:r>
            <w:r w:rsidRPr="00160DA0">
              <w:t>milestones, such as walking and speech</w:t>
            </w:r>
            <w:r>
              <w:t>, may be</w:t>
            </w:r>
            <w:r w:rsidRPr="00160DA0">
              <w:t xml:space="preserve"> delayed</w:t>
            </w:r>
            <w:r>
              <w:t xml:space="preserve"> due to </w:t>
            </w:r>
            <w:r w:rsidRPr="00160DA0">
              <w:t>hypotonia</w:t>
            </w:r>
            <w:r>
              <w:t xml:space="preserve">, with some children experiencing </w:t>
            </w:r>
            <w:r w:rsidRPr="00160DA0">
              <w:t>learning disabilities</w:t>
            </w:r>
            <w:r>
              <w:t>. I</w:t>
            </w:r>
            <w:r w:rsidRPr="00160DA0">
              <w:t>ncreas</w:t>
            </w:r>
            <w:r>
              <w:t>ed</w:t>
            </w:r>
            <w:r w:rsidRPr="00160DA0">
              <w:t xml:space="preserve"> difficult</w:t>
            </w:r>
            <w:r>
              <w:t>y</w:t>
            </w:r>
            <w:r w:rsidRPr="00160DA0">
              <w:t xml:space="preserve"> with balance and walking</w:t>
            </w:r>
            <w:r>
              <w:t xml:space="preserve"> may occur with increasing age. </w:t>
            </w:r>
            <w:r w:rsidRPr="001D1FD0">
              <w:t>By adolescence, 95</w:t>
            </w:r>
            <w:r>
              <w:t>%</w:t>
            </w:r>
            <w:r w:rsidRPr="001D1FD0">
              <w:t xml:space="preserve"> of individuals with </w:t>
            </w:r>
            <w:r>
              <w:t>FD will</w:t>
            </w:r>
            <w:r w:rsidRPr="001D1FD0">
              <w:t xml:space="preserve"> have </w:t>
            </w:r>
            <w:r>
              <w:t>some</w:t>
            </w:r>
            <w:r w:rsidRPr="001D1FD0">
              <w:t xml:space="preserve"> </w:t>
            </w:r>
            <w:r>
              <w:t xml:space="preserve">evidence of </w:t>
            </w:r>
            <w:r w:rsidRPr="001D1FD0">
              <w:t>scoliosis</w:t>
            </w:r>
            <w:r>
              <w:t xml:space="preserve"> </w:t>
            </w:r>
            <w:r>
              <w:fldChar w:fldCharType="begin"/>
            </w:r>
            <w:r>
              <w:instrText xml:space="preserve"> ADDIN EN.CITE &lt;EndNote&gt;&lt;Cite&gt;&lt;Author&gt;NIH&lt;/Author&gt;&lt;Year&gt;2013&lt;/Year&gt;&lt;RecNum&gt;45&lt;/RecNum&gt;&lt;DisplayText&gt;(NIH, 2013a)&lt;/DisplayText&gt;&lt;record&gt;&lt;rec-number&gt;45&lt;/rec-number&gt;&lt;foreign-keys&gt;&lt;key app="EN" db-id="tvd2x2aeprp90te22eox9tvxfe2a0xv0tdfs" timestamp="1623373159"&gt;45&lt;/key&gt;&lt;/foreign-keys&gt;&lt;ref-type name="Web Page"&gt;12&lt;/ref-type&gt;&lt;contributors&gt;&lt;authors&gt;&lt;author&gt;NIH&lt;/author&gt;&lt;/authors&gt;&lt;/contributors&gt;&lt;titles&gt;&lt;title&gt;Familial dysautonomia&lt;/title&gt;&lt;secondary-title&gt;Genetics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Medicine&lt;/publisher&gt;&lt;urls&gt;&lt;related-urls&gt;&lt;url&gt;https://ghr.nlm.nih.gov/condition/familial-dysautonomia&lt;/url&gt;&lt;/related-urls&gt;&lt;/urls&gt;&lt;/record&gt;&lt;/Cite&gt;&lt;/EndNote&gt;</w:instrText>
            </w:r>
            <w:r>
              <w:fldChar w:fldCharType="separate"/>
            </w:r>
            <w:r>
              <w:rPr>
                <w:noProof/>
              </w:rPr>
              <w:t>(NIH, 2013a)</w:t>
            </w:r>
            <w:r>
              <w:fldChar w:fldCharType="end"/>
            </w:r>
            <w:r>
              <w:t>.</w:t>
            </w:r>
            <w:r w:rsidR="00F84B1C">
              <w:t xml:space="preserve"> </w:t>
            </w:r>
            <w:r w:rsidRPr="00775845">
              <w:t xml:space="preserve">Persons with FD are more likely than the general population to develop end-stage renal disease </w:t>
            </w:r>
            <w:r>
              <w:t xml:space="preserve">(at age 25 years FD 19% vs general population 0.1%) </w:t>
            </w:r>
            <w:r>
              <w:fldChar w:fldCharType="begin"/>
            </w:r>
            <w:r>
              <w:instrText xml:space="preserve"> ADDIN EN.CITE &lt;EndNote&gt;&lt;Cite&gt;&lt;Author&gt;Shohat&lt;/Author&gt;&lt;Year&gt;2014&lt;/Year&gt;&lt;RecNum&gt;46&lt;/RecNum&gt;&lt;DisplayText&gt;(Shohat &amp;amp; Weisz Hubshman, 2014)&lt;/DisplayText&gt;&lt;record&gt;&lt;rec-number&gt;46&lt;/rec-number&gt;&lt;foreign-keys&gt;&lt;key app="EN" db-id="tvd2x2aeprp90te22eox9tvxfe2a0xv0tdfs" timestamp="1623373159"&gt;46&lt;/key&gt;&lt;/foreign-keys&gt;&lt;ref-type name="Web Page"&gt;12&lt;/ref-type&gt;&lt;contributors&gt;&lt;authors&gt;&lt;author&gt;Shohat, M.&lt;/author&gt;&lt;author&gt;Weisz Hubshman, M.&lt;/author&gt;&lt;/authors&gt;&lt;secondary-authors&gt;&lt;author&gt;Adam, M.P.&lt;/author&gt;&lt;author&gt;Ardinger, H.H.&lt;/author&gt;&lt;author&gt;Pagon, R.A.&lt;/author&gt;&lt;/secondary-authors&gt;&lt;/contributors&gt;&lt;titles&gt;&lt;title&gt;Familial Dysautonomia&lt;/title&gt;&lt;secondary-title&gt;GeneReviews®&lt;/secondary-title&gt;&lt;/titles&gt;&lt;volume&gt;2020&lt;/volume&gt;&lt;number&gt;19th August&lt;/number&gt;&lt;dates&gt;&lt;year&gt;2014&lt;/year&gt;&lt;/dates&gt;&lt;pub-location&gt;Seattle&lt;/pub-location&gt;&lt;publisher&gt;University of Washington&lt;/publisher&gt;&lt;urls&gt;&lt;related-urls&gt;&lt;url&gt;https://www.ncbi.nlm.nih.gov/books/NBK1180/&lt;/url&gt;&lt;/related-urls&gt;&lt;/urls&gt;&lt;/record&gt;&lt;/Cite&gt;&lt;/EndNote&gt;</w:instrText>
            </w:r>
            <w:r>
              <w:fldChar w:fldCharType="separate"/>
            </w:r>
            <w:r>
              <w:rPr>
                <w:noProof/>
              </w:rPr>
              <w:t>(Shohat &amp; Weisz Hubshman, 2014)</w:t>
            </w:r>
            <w:r>
              <w:fldChar w:fldCharType="end"/>
            </w:r>
            <w:r>
              <w:t>.</w:t>
            </w:r>
          </w:p>
        </w:tc>
        <w:tc>
          <w:tcPr>
            <w:tcW w:w="864" w:type="pct"/>
            <w:tcBorders>
              <w:top w:val="single" w:sz="4" w:space="0" w:color="auto"/>
              <w:bottom w:val="single" w:sz="4" w:space="0" w:color="auto"/>
            </w:tcBorders>
          </w:tcPr>
          <w:p w14:paraId="7849E387" w14:textId="77777777" w:rsidR="003B2EF3" w:rsidRDefault="003B2EF3" w:rsidP="00024485">
            <w:pPr>
              <w:pStyle w:val="Tabletext"/>
            </w:pPr>
            <w:r w:rsidRPr="004634E2">
              <w:lastRenderedPageBreak/>
              <w:t xml:space="preserve">Autosomal recessive. </w:t>
            </w:r>
            <w:r>
              <w:br/>
              <w:t xml:space="preserve">Carriers </w:t>
            </w:r>
            <w:r w:rsidRPr="004E138A">
              <w:t xml:space="preserve">typically do not show signs </w:t>
            </w:r>
            <w:r>
              <w:t xml:space="preserve">or </w:t>
            </w:r>
            <w:r w:rsidRPr="004E138A">
              <w:t xml:space="preserve">symptoms of </w:t>
            </w:r>
            <w:r>
              <w:t>FD</w:t>
            </w:r>
            <w:r w:rsidRPr="004E138A">
              <w:t>.</w:t>
            </w:r>
          </w:p>
          <w:p w14:paraId="45AAB4F1" w14:textId="5F3DF845" w:rsidR="003B2EF3" w:rsidRPr="00FC7F18" w:rsidRDefault="003B2EF3" w:rsidP="00024485">
            <w:pPr>
              <w:pStyle w:val="Tabletext"/>
              <w:rPr>
                <w:i/>
                <w:iCs/>
              </w:rPr>
            </w:pPr>
            <w:r w:rsidRPr="00153786">
              <w:t xml:space="preserve">Mutations in the </w:t>
            </w:r>
            <w:r w:rsidRPr="00160DA0">
              <w:rPr>
                <w:rStyle w:val="Emphasis"/>
              </w:rPr>
              <w:t>ELP1</w:t>
            </w:r>
            <w:r>
              <w:t xml:space="preserve"> gene</w:t>
            </w:r>
            <w:r w:rsidRPr="00153786">
              <w:t xml:space="preserve"> cause </w:t>
            </w:r>
            <w:r>
              <w:t>FD</w:t>
            </w:r>
            <w:r w:rsidRPr="00153786">
              <w:t xml:space="preserve">. </w:t>
            </w:r>
            <w:r w:rsidRPr="00153786">
              <w:rPr>
                <w:i/>
                <w:iCs/>
              </w:rPr>
              <w:t>ELP1</w:t>
            </w:r>
            <w:r w:rsidRPr="00153786">
              <w:t xml:space="preserve"> </w:t>
            </w:r>
            <w:r>
              <w:t>codes</w:t>
            </w:r>
            <w:r w:rsidRPr="00153786">
              <w:t xml:space="preserve"> for a protein that is found in a variety of cells throughout the body, including brain cells.</w:t>
            </w:r>
            <w:r>
              <w:t xml:space="preserve"> </w:t>
            </w:r>
            <w:r w:rsidRPr="00153786">
              <w:t xml:space="preserve">Nearly all individuals with </w:t>
            </w:r>
            <w:r>
              <w:t>FD</w:t>
            </w:r>
            <w:r w:rsidRPr="00153786">
              <w:t xml:space="preserve"> have </w:t>
            </w:r>
            <w:r>
              <w:t>2</w:t>
            </w:r>
            <w:r w:rsidRPr="00153786">
              <w:t xml:space="preserve"> copies of the same </w:t>
            </w:r>
            <w:r w:rsidRPr="00775845">
              <w:rPr>
                <w:rStyle w:val="Emphasis"/>
              </w:rPr>
              <w:t>ELP1</w:t>
            </w:r>
            <w:r w:rsidRPr="00153786">
              <w:t xml:space="preserve"> </w:t>
            </w:r>
            <w:r>
              <w:t xml:space="preserve">variant, which </w:t>
            </w:r>
            <w:r w:rsidRPr="00153786">
              <w:t>disrupt</w:t>
            </w:r>
            <w:r>
              <w:t>s</w:t>
            </w:r>
            <w:r w:rsidRPr="00153786">
              <w:t xml:space="preserve"> production of ELP1 protein. </w:t>
            </w:r>
            <w:r>
              <w:t>R</w:t>
            </w:r>
            <w:r w:rsidRPr="00153786">
              <w:t xml:space="preserve">educed </w:t>
            </w:r>
            <w:r>
              <w:t xml:space="preserve">levels of </w:t>
            </w:r>
            <w:r w:rsidRPr="00153786">
              <w:t xml:space="preserve">ELP1 protein </w:t>
            </w:r>
            <w:r>
              <w:t xml:space="preserve">in the </w:t>
            </w:r>
            <w:r w:rsidRPr="00153786">
              <w:t xml:space="preserve">brain </w:t>
            </w:r>
            <w:r>
              <w:t>disrupts c</w:t>
            </w:r>
            <w:r w:rsidRPr="00153786">
              <w:t xml:space="preserve">ritical activities, leading to the signs </w:t>
            </w:r>
            <w:r w:rsidRPr="00153786">
              <w:lastRenderedPageBreak/>
              <w:t xml:space="preserve">and symptoms of </w:t>
            </w:r>
            <w:r>
              <w:t xml:space="preserve">FD </w:t>
            </w:r>
            <w:r>
              <w:fldChar w:fldCharType="begin"/>
            </w:r>
            <w:r>
              <w:instrText xml:space="preserve"> ADDIN EN.CITE &lt;EndNote&gt;&lt;Cite&gt;&lt;Author&gt;NIH&lt;/Author&gt;&lt;Year&gt;2013&lt;/Year&gt;&lt;RecNum&gt;45&lt;/RecNum&gt;&lt;DisplayText&gt;(NIH, 2013a)&lt;/DisplayText&gt;&lt;record&gt;&lt;rec-number&gt;45&lt;/rec-number&gt;&lt;foreign-keys&gt;&lt;key app="EN" db-id="tvd2x2aeprp90te22eox9tvxfe2a0xv0tdfs" timestamp="1623373159"&gt;45&lt;/key&gt;&lt;/foreign-keys&gt;&lt;ref-type name="Web Page"&gt;12&lt;/ref-type&gt;&lt;contributors&gt;&lt;authors&gt;&lt;author&gt;NIH&lt;/author&gt;&lt;/authors&gt;&lt;/contributors&gt;&lt;titles&gt;&lt;title&gt;Familial dysautonomia&lt;/title&gt;&lt;secondary-title&gt;Genetics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Medicine&lt;/publisher&gt;&lt;urls&gt;&lt;related-urls&gt;&lt;url&gt;https://ghr.nlm.nih.gov/condition/familial-dysautonomia&lt;/url&gt;&lt;/related-urls&gt;&lt;/urls&gt;&lt;/record&gt;&lt;/Cite&gt;&lt;/EndNote&gt;</w:instrText>
            </w:r>
            <w:r>
              <w:fldChar w:fldCharType="separate"/>
            </w:r>
            <w:r>
              <w:rPr>
                <w:noProof/>
              </w:rPr>
              <w:t>(NIH, 2013a)</w:t>
            </w:r>
            <w:r>
              <w:fldChar w:fldCharType="end"/>
            </w:r>
            <w:r>
              <w:t>.</w:t>
            </w:r>
          </w:p>
        </w:tc>
        <w:tc>
          <w:tcPr>
            <w:tcW w:w="1016" w:type="pct"/>
            <w:tcBorders>
              <w:top w:val="single" w:sz="4" w:space="0" w:color="auto"/>
              <w:bottom w:val="single" w:sz="4" w:space="0" w:color="auto"/>
            </w:tcBorders>
          </w:tcPr>
          <w:p w14:paraId="40EC67FA" w14:textId="77777777" w:rsidR="003B2EF3" w:rsidRPr="00FA4A2E" w:rsidRDefault="003B2EF3" w:rsidP="00024485">
            <w:pPr>
              <w:pStyle w:val="Tabletext"/>
            </w:pPr>
            <w:r>
              <w:lastRenderedPageBreak/>
              <w:t xml:space="preserve">Life expectancy is reduced, with affected individuals living up to 40 years of age. </w:t>
            </w:r>
            <w:r w:rsidRPr="001D1FD0">
              <w:t xml:space="preserve">Treatment </w:t>
            </w:r>
            <w:r>
              <w:t xml:space="preserve">aims to ameliorate symptoms by providing </w:t>
            </w:r>
            <w:r w:rsidRPr="001D1FD0">
              <w:t>adequate nutrition; measures to avoid aspiration; treatment of gastroesophageal reflux</w:t>
            </w:r>
            <w:r>
              <w:t xml:space="preserve">; </w:t>
            </w:r>
            <w:r w:rsidRPr="001D1FD0">
              <w:t xml:space="preserve">daily chest physiotherapy; possible high-frequency chest-wall oscillation; hydration, elastic stockings, leg exercises, counter-manoeuvres to treat orthostatic hypotension; pacemaker for bradyarrhythmia and/or syncope; </w:t>
            </w:r>
            <w:r>
              <w:t xml:space="preserve">and </w:t>
            </w:r>
            <w:r w:rsidRPr="001D1FD0">
              <w:t>artificial tear solutions for corneal healing</w:t>
            </w:r>
            <w:r>
              <w:t xml:space="preserve">. </w:t>
            </w:r>
            <w:r w:rsidRPr="001D1FD0">
              <w:t>An</w:t>
            </w:r>
            <w:r>
              <w:t xml:space="preserve"> an</w:t>
            </w:r>
            <w:r w:rsidRPr="001D1FD0">
              <w:t>nual spine examination for scoliosis</w:t>
            </w:r>
            <w:r>
              <w:t xml:space="preserve"> should be conducted, with</w:t>
            </w:r>
            <w:r w:rsidRPr="001D1FD0">
              <w:t xml:space="preserve"> </w:t>
            </w:r>
            <w:r w:rsidRPr="001D1FD0">
              <w:lastRenderedPageBreak/>
              <w:t xml:space="preserve">spinal fusion </w:t>
            </w:r>
            <w:r>
              <w:t xml:space="preserve">performed </w:t>
            </w:r>
            <w:r w:rsidRPr="001D1FD0">
              <w:t>as needed</w:t>
            </w:r>
            <w:r>
              <w:t xml:space="preserve"> </w:t>
            </w:r>
            <w:r>
              <w:fldChar w:fldCharType="begin"/>
            </w:r>
            <w:r>
              <w:instrText xml:space="preserve"> ADDIN EN.CITE &lt;EndNote&gt;&lt;Cite&gt;&lt;Author&gt;Shohat&lt;/Author&gt;&lt;Year&gt;2014&lt;/Year&gt;&lt;RecNum&gt;46&lt;/RecNum&gt;&lt;DisplayText&gt;(Shohat &amp;amp; Weisz Hubshman, 2014)&lt;/DisplayText&gt;&lt;record&gt;&lt;rec-number&gt;46&lt;/rec-number&gt;&lt;foreign-keys&gt;&lt;key app="EN" db-id="tvd2x2aeprp90te22eox9tvxfe2a0xv0tdfs" timestamp="1623373159"&gt;46&lt;/key&gt;&lt;/foreign-keys&gt;&lt;ref-type name="Web Page"&gt;12&lt;/ref-type&gt;&lt;contributors&gt;&lt;authors&gt;&lt;author&gt;Shohat, M.&lt;/author&gt;&lt;author&gt;Weisz Hubshman, M.&lt;/author&gt;&lt;/authors&gt;&lt;secondary-authors&gt;&lt;author&gt;Adam, M.P.&lt;/author&gt;&lt;author&gt;Ardinger, H.H.&lt;/author&gt;&lt;author&gt;Pagon, R.A.&lt;/author&gt;&lt;/secondary-authors&gt;&lt;/contributors&gt;&lt;titles&gt;&lt;title&gt;Familial Dysautonomia&lt;/title&gt;&lt;secondary-title&gt;GeneReviews®&lt;/secondary-title&gt;&lt;/titles&gt;&lt;volume&gt;2020&lt;/volume&gt;&lt;number&gt;19th August&lt;/number&gt;&lt;dates&gt;&lt;year&gt;2014&lt;/year&gt;&lt;/dates&gt;&lt;pub-location&gt;Seattle&lt;/pub-location&gt;&lt;publisher&gt;University of Washington&lt;/publisher&gt;&lt;urls&gt;&lt;related-urls&gt;&lt;url&gt;https://www.ncbi.nlm.nih.gov/books/NBK1180/&lt;/url&gt;&lt;/related-urls&gt;&lt;/urls&gt;&lt;/record&gt;&lt;/Cite&gt;&lt;/EndNote&gt;</w:instrText>
            </w:r>
            <w:r>
              <w:fldChar w:fldCharType="separate"/>
            </w:r>
            <w:r>
              <w:rPr>
                <w:noProof/>
              </w:rPr>
              <w:t>(Shohat &amp; Weisz Hubshman, 2014)</w:t>
            </w:r>
            <w:r>
              <w:fldChar w:fldCharType="end"/>
            </w:r>
            <w:r>
              <w:t>.</w:t>
            </w:r>
          </w:p>
        </w:tc>
        <w:tc>
          <w:tcPr>
            <w:tcW w:w="674" w:type="pct"/>
            <w:tcBorders>
              <w:top w:val="single" w:sz="4" w:space="0" w:color="auto"/>
              <w:bottom w:val="single" w:sz="4" w:space="0" w:color="auto"/>
            </w:tcBorders>
          </w:tcPr>
          <w:p w14:paraId="485DC746" w14:textId="77777777" w:rsidR="003B2EF3" w:rsidRDefault="003B2EF3" w:rsidP="00024485">
            <w:pPr>
              <w:pStyle w:val="Tabletext"/>
            </w:pPr>
            <w:r w:rsidRPr="00BD4168">
              <w:rPr>
                <w:bCs/>
              </w:rPr>
              <w:lastRenderedPageBreak/>
              <w:t>Birth prevalence</w:t>
            </w:r>
            <w:r>
              <w:br/>
            </w:r>
            <w:r w:rsidRPr="00FA4A2E">
              <w:t xml:space="preserve">1 in </w:t>
            </w:r>
            <w:r>
              <w:t>3</w:t>
            </w:r>
            <w:r w:rsidRPr="00FA4A2E">
              <w:t>,</w:t>
            </w:r>
            <w:r>
              <w:t>7</w:t>
            </w:r>
            <w:r w:rsidRPr="00FA4A2E">
              <w:t>00</w:t>
            </w:r>
            <w:r>
              <w:t xml:space="preserve"> </w:t>
            </w:r>
            <w:r>
              <w:fldChar w:fldCharType="begin"/>
            </w:r>
            <w:r>
              <w:instrText xml:space="preserve"> ADDIN EN.CITE &lt;EndNote&gt;&lt;Cite&gt;&lt;Author&gt;NIH&lt;/Author&gt;&lt;Year&gt;2013&lt;/Year&gt;&lt;RecNum&gt;45&lt;/RecNum&gt;&lt;DisplayText&gt;(NIH, 2013a)&lt;/DisplayText&gt;&lt;record&gt;&lt;rec-number&gt;45&lt;/rec-number&gt;&lt;foreign-keys&gt;&lt;key app="EN" db-id="tvd2x2aeprp90te22eox9tvxfe2a0xv0tdfs" timestamp="1623373159"&gt;45&lt;/key&gt;&lt;/foreign-keys&gt;&lt;ref-type name="Web Page"&gt;12&lt;/ref-type&gt;&lt;contributors&gt;&lt;authors&gt;&lt;author&gt;NIH&lt;/author&gt;&lt;/authors&gt;&lt;/contributors&gt;&lt;titles&gt;&lt;title&gt;Familial dysautonomia&lt;/title&gt;&lt;secondary-title&gt;Genetics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Medicine&lt;/publisher&gt;&lt;urls&gt;&lt;related-urls&gt;&lt;url&gt;https://ghr.nlm.nih.gov/condition/familial-dysautonomia&lt;/url&gt;&lt;/related-urls&gt;&lt;/urls&gt;&lt;/record&gt;&lt;/Cite&gt;&lt;/EndNote&gt;</w:instrText>
            </w:r>
            <w:r>
              <w:fldChar w:fldCharType="separate"/>
            </w:r>
            <w:r>
              <w:rPr>
                <w:noProof/>
              </w:rPr>
              <w:t>(NIH, 2013a)</w:t>
            </w:r>
            <w:r>
              <w:fldChar w:fldCharType="end"/>
            </w:r>
          </w:p>
          <w:p w14:paraId="50B2A005" w14:textId="77777777" w:rsidR="003B2EF3" w:rsidRPr="00FA4A2E" w:rsidRDefault="003B2EF3" w:rsidP="00024485">
            <w:pPr>
              <w:pStyle w:val="Tabletext"/>
            </w:pPr>
            <w:r w:rsidRPr="00944F3A">
              <w:rPr>
                <w:bCs/>
              </w:rPr>
              <w:t>Carrier frequency</w:t>
            </w:r>
            <w:r>
              <w:br/>
              <w:t xml:space="preserve">1:30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top w:val="single" w:sz="4" w:space="0" w:color="auto"/>
              <w:bottom w:val="single" w:sz="4" w:space="0" w:color="auto"/>
            </w:tcBorders>
          </w:tcPr>
          <w:p w14:paraId="6FB1C69E" w14:textId="7502AC5D" w:rsidR="003B2EF3" w:rsidRDefault="003B2EF3" w:rsidP="00024485">
            <w:pPr>
              <w:pStyle w:val="Tabletext"/>
            </w:pPr>
            <w:r w:rsidRPr="00944F3A">
              <w:t xml:space="preserve">In </w:t>
            </w:r>
            <w:r w:rsidR="00666B40" w:rsidRPr="0025524C">
              <w:t>Ashkenazi Jewish</w:t>
            </w:r>
            <w:r w:rsidRPr="00944F3A">
              <w:t xml:space="preserve"> populations, 9</w:t>
            </w:r>
            <w:r>
              <w:t>9</w:t>
            </w:r>
            <w:r w:rsidRPr="00944F3A">
              <w:t xml:space="preserve">% of CD is caused by 2 </w:t>
            </w:r>
            <w:r>
              <w:t xml:space="preserve">pathogenic </w:t>
            </w:r>
            <w:r w:rsidRPr="00944F3A">
              <w:t>variants</w:t>
            </w:r>
            <w:r>
              <w:t xml:space="preserve"> in the </w:t>
            </w:r>
            <w:r w:rsidRPr="00160DA0">
              <w:rPr>
                <w:rStyle w:val="Emphasis"/>
              </w:rPr>
              <w:t>ELP1</w:t>
            </w:r>
            <w:r>
              <w:t xml:space="preserve"> gene</w:t>
            </w:r>
            <w:r w:rsidRPr="00944F3A">
              <w:t>:</w:t>
            </w:r>
          </w:p>
          <w:p w14:paraId="121D7D55" w14:textId="77777777" w:rsidR="003B2EF3" w:rsidRDefault="003B2EF3" w:rsidP="00024485">
            <w:pPr>
              <w:pStyle w:val="Tabletext"/>
            </w:pPr>
            <w:r w:rsidRPr="00944F3A">
              <w:rPr>
                <w:bCs/>
              </w:rPr>
              <w:t>Major founder variant</w:t>
            </w:r>
            <w:r w:rsidRPr="00944F3A">
              <w:t xml:space="preserve"> c.2204+6T&gt;C </w:t>
            </w:r>
          </w:p>
          <w:p w14:paraId="105DE8F1" w14:textId="77777777" w:rsidR="003B2EF3" w:rsidRPr="00132ECC" w:rsidRDefault="003B2EF3" w:rsidP="00024485">
            <w:pPr>
              <w:pStyle w:val="Tabletext"/>
            </w:pPr>
            <w:r w:rsidRPr="00160DA0">
              <w:rPr>
                <w:bCs/>
              </w:rPr>
              <w:t>Rare variant</w:t>
            </w:r>
            <w:r>
              <w:br/>
            </w:r>
            <w:r w:rsidRPr="00944F3A">
              <w:t xml:space="preserve">p.Arg696Pro </w:t>
            </w:r>
            <w:r>
              <w:fldChar w:fldCharType="begin"/>
            </w:r>
            <w:r>
              <w:instrText xml:space="preserve"> ADDIN EN.CITE &lt;EndNote&gt;&lt;Cite&gt;&lt;Author&gt;Shohat&lt;/Author&gt;&lt;Year&gt;2014&lt;/Year&gt;&lt;RecNum&gt;46&lt;/RecNum&gt;&lt;DisplayText&gt;(Shohat &amp;amp; Weisz Hubshman, 2014)&lt;/DisplayText&gt;&lt;record&gt;&lt;rec-number&gt;46&lt;/rec-number&gt;&lt;foreign-keys&gt;&lt;key app="EN" db-id="tvd2x2aeprp90te22eox9tvxfe2a0xv0tdfs" timestamp="1623373159"&gt;46&lt;/key&gt;&lt;/foreign-keys&gt;&lt;ref-type name="Web Page"&gt;12&lt;/ref-type&gt;&lt;contributors&gt;&lt;authors&gt;&lt;author&gt;Shohat, M.&lt;/author&gt;&lt;author&gt;Weisz Hubshman, M.&lt;/author&gt;&lt;/authors&gt;&lt;secondary-authors&gt;&lt;author&gt;Adam, M.P.&lt;/author&gt;&lt;author&gt;Ardinger, H.H.&lt;/author&gt;&lt;author&gt;Pagon, R.A.&lt;/author&gt;&lt;/secondary-authors&gt;&lt;/contributors&gt;&lt;titles&gt;&lt;title&gt;Familial Dysautonomia&lt;/title&gt;&lt;secondary-title&gt;GeneReviews®&lt;/secondary-title&gt;&lt;/titles&gt;&lt;volume&gt;2020&lt;/volume&gt;&lt;number&gt;19th August&lt;/number&gt;&lt;dates&gt;&lt;year&gt;2014&lt;/year&gt;&lt;/dates&gt;&lt;pub-location&gt;Seattle&lt;/pub-location&gt;&lt;publisher&gt;University of Washington&lt;/publisher&gt;&lt;urls&gt;&lt;related-urls&gt;&lt;url&gt;https://www.ncbi.nlm.nih.gov/books/NBK1180/&lt;/url&gt;&lt;/related-urls&gt;&lt;/urls&gt;&lt;/record&gt;&lt;/Cite&gt;&lt;/EndNote&gt;</w:instrText>
            </w:r>
            <w:r>
              <w:fldChar w:fldCharType="separate"/>
            </w:r>
            <w:r>
              <w:rPr>
                <w:noProof/>
              </w:rPr>
              <w:t>(Shohat &amp; Weisz Hubshman, 2014)</w:t>
            </w:r>
            <w:r>
              <w:fldChar w:fldCharType="end"/>
            </w:r>
          </w:p>
        </w:tc>
      </w:tr>
      <w:tr w:rsidR="003B2EF3" w:rsidRPr="00E82F54" w14:paraId="32BCA0AC" w14:textId="77777777" w:rsidTr="007C3C21">
        <w:tc>
          <w:tcPr>
            <w:tcW w:w="498" w:type="pct"/>
            <w:tcBorders>
              <w:top w:val="single" w:sz="4" w:space="0" w:color="auto"/>
              <w:bottom w:val="single" w:sz="4" w:space="0" w:color="auto"/>
            </w:tcBorders>
          </w:tcPr>
          <w:p w14:paraId="04176D96" w14:textId="77777777" w:rsidR="003B2EF3" w:rsidRPr="00F503C6" w:rsidRDefault="003B2EF3" w:rsidP="00024485">
            <w:pPr>
              <w:pStyle w:val="Tabletext"/>
            </w:pPr>
            <w:bookmarkStart w:id="14" w:name="_Hlk76561120"/>
            <w:r w:rsidRPr="00F503C6">
              <w:t>Niemann Pick disease type A</w:t>
            </w:r>
            <w:r>
              <w:t xml:space="preserve"> (NPD)</w:t>
            </w:r>
            <w:bookmarkEnd w:id="14"/>
          </w:p>
        </w:tc>
        <w:tc>
          <w:tcPr>
            <w:tcW w:w="822" w:type="pct"/>
            <w:tcBorders>
              <w:top w:val="single" w:sz="4" w:space="0" w:color="auto"/>
              <w:bottom w:val="single" w:sz="4" w:space="0" w:color="auto"/>
            </w:tcBorders>
          </w:tcPr>
          <w:p w14:paraId="11D3BCA2" w14:textId="707C2FA6" w:rsidR="003B2EF3" w:rsidRPr="0067469B" w:rsidRDefault="003B2EF3" w:rsidP="00024485">
            <w:pPr>
              <w:pStyle w:val="Tabletext"/>
            </w:pPr>
            <w:r w:rsidRPr="0067469B">
              <w:t xml:space="preserve">There are 4 main types of NPD, classified based on genetic cause, and signs and symptoms of the condition: </w:t>
            </w:r>
            <w:r>
              <w:t>t</w:t>
            </w:r>
            <w:r w:rsidRPr="0067469B">
              <w:t>ypes A, B, C1 and C2</w:t>
            </w:r>
            <w:r>
              <w:t xml:space="preserve"> </w:t>
            </w:r>
            <w:r>
              <w:fldChar w:fldCharType="begin"/>
            </w:r>
            <w:r>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Pr>
                <w:noProof/>
              </w:rPr>
              <w:t>(NIH, 2015d)</w:t>
            </w:r>
            <w:r>
              <w:fldChar w:fldCharType="end"/>
            </w:r>
            <w:r>
              <w:t>.</w:t>
            </w:r>
            <w:r w:rsidRPr="0067469B">
              <w:t xml:space="preserve"> Type A is also known as neuronopathic NPD, with death occurring in early childhood.</w:t>
            </w:r>
            <w:r w:rsidR="00F84B1C">
              <w:t xml:space="preserve"> </w:t>
            </w:r>
            <w:r w:rsidRPr="0067469B">
              <w:t>NPD type B is also known as non-neuronopathic</w:t>
            </w:r>
            <w:r>
              <w:t xml:space="preserve"> </w:t>
            </w:r>
            <w:r>
              <w:fldChar w:fldCharType="begin"/>
            </w:r>
            <w:r>
              <w:instrText xml:space="preserve"> ADDIN EN.CITE &lt;EndNote&gt;&lt;Cite&gt;&lt;Author&gt;Wasserstein&lt;/Author&gt;&lt;Year&gt;2015&lt;/Year&gt;&lt;RecNum&gt;48&lt;/RecNum&gt;&lt;DisplayText&gt;(Wasserstein &amp;amp; Schuchman, 2015)&lt;/DisplayText&gt;&lt;record&gt;&lt;rec-number&gt;48&lt;/rec-number&gt;&lt;foreign-keys&gt;&lt;key app="EN" db-id="tvd2x2aeprp90te22eox9tvxfe2a0xv0tdfs" timestamp="1623373159"&gt;48&lt;/key&gt;&lt;/foreign-keys&gt;&lt;ref-type name="Web Page"&gt;12&lt;/ref-type&gt;&lt;contributors&gt;&lt;authors&gt;&lt;author&gt;Wasserstein, M.P.&lt;/author&gt;&lt;author&gt;Schuchman, E.H.&lt;/author&gt;&lt;/authors&gt;&lt;secondary-authors&gt;&lt;author&gt;Adam, M.P.&lt;/author&gt;&lt;author&gt;Ardinger, H.H.&lt;/author&gt;&lt;author&gt;Pagon, R.A.&lt;/author&gt;&lt;/secondary-authors&gt;&lt;/contributors&gt;&lt;titles&gt;&lt;title&gt;Acid Sphingomyelinase Deficiency&lt;/title&gt;&lt;secondary-title&gt;GeneReviews®&lt;/secondary-title&gt;&lt;/titles&gt;&lt;volume&gt;2020&lt;/volume&gt;&lt;number&gt;24th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Washington&lt;/publisher&gt;&lt;urls&gt;&lt;related-urls&gt;&lt;url&gt;https://www.ncbi.nlm.nih.gov/books/NBK1370/&lt;/url&gt;&lt;/related-urls&gt;&lt;/urls&gt;&lt;/record&gt;&lt;/Cite&gt;&lt;/EndNote&gt;</w:instrText>
            </w:r>
            <w:r>
              <w:fldChar w:fldCharType="separate"/>
            </w:r>
            <w:r>
              <w:rPr>
                <w:noProof/>
              </w:rPr>
              <w:t>(Wasserstein &amp; Schuchman, 2015)</w:t>
            </w:r>
            <w:r>
              <w:fldChar w:fldCharType="end"/>
            </w:r>
            <w:r>
              <w:t>.</w:t>
            </w:r>
          </w:p>
          <w:p w14:paraId="02F83B9E" w14:textId="6C2DCF72" w:rsidR="003B2EF3" w:rsidRPr="0067469B" w:rsidRDefault="003B2EF3" w:rsidP="00024485">
            <w:pPr>
              <w:pStyle w:val="Tabletext"/>
            </w:pPr>
            <w:r w:rsidRPr="0067469B">
              <w:lastRenderedPageBreak/>
              <w:t>Infants with NPD type A usually develop hepatosplenomegaly by 3 months and fail to thrive, with psychomotor regression occurring at 12</w:t>
            </w:r>
            <w:r>
              <w:t xml:space="preserve"> </w:t>
            </w:r>
            <w:r w:rsidRPr="0067469B">
              <w:t>months. Interstitial lung disease also develops, causing recurrent lung infections leading to respiratory failure.</w:t>
            </w:r>
            <w:r>
              <w:fldChar w:fldCharType="begin"/>
            </w:r>
            <w:r w:rsidR="00550E81">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sidR="00550E81">
              <w:rPr>
                <w:noProof/>
              </w:rPr>
              <w:t>(NIH, 2015d)</w:t>
            </w:r>
            <w:r>
              <w:fldChar w:fldCharType="end"/>
            </w:r>
            <w:r>
              <w:t>.</w:t>
            </w:r>
          </w:p>
          <w:p w14:paraId="0813C8AF" w14:textId="77777777" w:rsidR="003B2EF3" w:rsidRPr="0067469B" w:rsidRDefault="003B2EF3" w:rsidP="00024485">
            <w:pPr>
              <w:pStyle w:val="Tabletext"/>
            </w:pPr>
            <w:r w:rsidRPr="0067469B">
              <w:t xml:space="preserve">NPD type B usually presents in mid-childhood, with milder symptoms </w:t>
            </w:r>
            <w:proofErr w:type="gramStart"/>
            <w:r w:rsidRPr="0067469B">
              <w:t>similar to</w:t>
            </w:r>
            <w:proofErr w:type="gramEnd"/>
            <w:r w:rsidRPr="0067469B">
              <w:t xml:space="preserve"> type A, with affected individuals surviving into adulthood. Patients with NPD type B often have hepatosplenomegaly, recurrent lung infections, and thrombocytopenia. They also have short stature, slowed mineralisation of bone, and approximately 1/3 may have neurological impairment</w:t>
            </w:r>
            <w:r>
              <w:t xml:space="preserve"> </w:t>
            </w:r>
            <w:r>
              <w:fldChar w:fldCharType="begin"/>
            </w:r>
            <w:r>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Pr>
                <w:noProof/>
              </w:rPr>
              <w:t>(NIH, 2015d)</w:t>
            </w:r>
            <w:r>
              <w:fldChar w:fldCharType="end"/>
            </w:r>
            <w:r>
              <w:t>.</w:t>
            </w:r>
          </w:p>
          <w:p w14:paraId="7A06A276" w14:textId="77777777" w:rsidR="003B2EF3" w:rsidRPr="0067469B" w:rsidRDefault="003B2EF3" w:rsidP="00024485">
            <w:pPr>
              <w:pStyle w:val="Tabletext"/>
            </w:pPr>
            <w:r w:rsidRPr="0067469B">
              <w:t xml:space="preserve">Symptoms of NPD types C1 and C2 can develop at any time but usually become apparent in childhood. Affected individuals may survive into adulthood. Symptoms include ataxia, vertical supranuclear gaze palsy, dystonia, severe liver disease, and interstitial lung disease. Affected </w:t>
            </w:r>
            <w:r w:rsidRPr="0067469B">
              <w:lastRenderedPageBreak/>
              <w:t>Individuals also have problems with speech and swallowing that worsen over time, eventually interfering with feeding. In addition, a progressive decline in intellectual function is common, and about 1/3 have seizures</w:t>
            </w:r>
            <w:r>
              <w:t xml:space="preserve"> </w:t>
            </w:r>
            <w:r>
              <w:fldChar w:fldCharType="begin"/>
            </w:r>
            <w:r>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Pr>
                <w:noProof/>
              </w:rPr>
              <w:t>(NIH, 2015d)</w:t>
            </w:r>
            <w:r>
              <w:fldChar w:fldCharType="end"/>
            </w:r>
            <w:r>
              <w:t>.</w:t>
            </w:r>
          </w:p>
        </w:tc>
        <w:tc>
          <w:tcPr>
            <w:tcW w:w="864" w:type="pct"/>
            <w:tcBorders>
              <w:top w:val="single" w:sz="4" w:space="0" w:color="auto"/>
              <w:bottom w:val="single" w:sz="4" w:space="0" w:color="auto"/>
            </w:tcBorders>
          </w:tcPr>
          <w:p w14:paraId="6B93853D" w14:textId="77777777" w:rsidR="003B2EF3" w:rsidRPr="0067469B" w:rsidRDefault="003B2EF3" w:rsidP="00024485">
            <w:pPr>
              <w:pStyle w:val="Tabletext"/>
            </w:pPr>
            <w:r w:rsidRPr="0067469B">
              <w:lastRenderedPageBreak/>
              <w:t>Autosomal recessive. Carriers typically do not show signs or symptoms of NPD.</w:t>
            </w:r>
          </w:p>
          <w:p w14:paraId="156B53F3" w14:textId="77777777" w:rsidR="003B2EF3" w:rsidRPr="0067469B" w:rsidRDefault="003B2EF3" w:rsidP="00024485">
            <w:pPr>
              <w:pStyle w:val="Tabletext"/>
            </w:pPr>
            <w:r w:rsidRPr="0067469B">
              <w:t xml:space="preserve">NPD types A and B are caused by mutations in the </w:t>
            </w:r>
            <w:r w:rsidRPr="0067469B">
              <w:rPr>
                <w:rStyle w:val="Emphasis"/>
              </w:rPr>
              <w:t>SMPD1</w:t>
            </w:r>
            <w:r w:rsidRPr="0067469B">
              <w:t xml:space="preserve"> gene, which codes for the enzyme acid sphingomyelinase. Acid sphingomyelinase is found in lysosomes, and converts the lipid, sphingomyelin, into ceramide. Mutations in </w:t>
            </w:r>
            <w:r w:rsidRPr="0067469B">
              <w:rPr>
                <w:rStyle w:val="Emphasis"/>
              </w:rPr>
              <w:t>SMPD1</w:t>
            </w:r>
            <w:r w:rsidRPr="0067469B">
              <w:t xml:space="preserve"> lead to a shortage of acid </w:t>
            </w:r>
            <w:r w:rsidRPr="0067469B">
              <w:lastRenderedPageBreak/>
              <w:t>sphingomyelinase, which results in the reduced breakdown, and accumulation of, sphingomyelin, in cells. As a result, cells malfunction and eventually die. Over time, cell loss impairs function of tissues and organs including the brain, lungs, spleen, and liver</w:t>
            </w:r>
            <w:r>
              <w:t xml:space="preserve"> </w:t>
            </w:r>
            <w:r>
              <w:fldChar w:fldCharType="begin"/>
            </w:r>
            <w:r>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Pr>
                <w:noProof/>
              </w:rPr>
              <w:t>(NIH, 2015d)</w:t>
            </w:r>
            <w:r>
              <w:fldChar w:fldCharType="end"/>
            </w:r>
            <w:r>
              <w:t>.</w:t>
            </w:r>
          </w:p>
          <w:p w14:paraId="51803C36" w14:textId="77777777" w:rsidR="003B2EF3" w:rsidRPr="0067469B" w:rsidRDefault="003B2EF3" w:rsidP="00024485">
            <w:pPr>
              <w:pStyle w:val="Tabletext"/>
            </w:pPr>
            <w:r w:rsidRPr="0067469B">
              <w:t xml:space="preserve">NPD type C is caused by variants in either the </w:t>
            </w:r>
            <w:r w:rsidRPr="0067469B">
              <w:rPr>
                <w:rStyle w:val="Emphasis"/>
              </w:rPr>
              <w:t>NPC1</w:t>
            </w:r>
            <w:r w:rsidRPr="0067469B">
              <w:t xml:space="preserve"> or </w:t>
            </w:r>
            <w:r w:rsidRPr="0067469B">
              <w:rPr>
                <w:rStyle w:val="Emphasis"/>
              </w:rPr>
              <w:t>NPC2</w:t>
            </w:r>
            <w:r w:rsidRPr="0067469B">
              <w:t xml:space="preserve"> genes. These variants lead to a shortage of functional protein, which prevents movement of cholesterol and other lipids, leading to their accumulation in cells. As a result, many normal cell functions that require these lipids, such as cell membrane formation, are impaired. The accumulation of lipids as well as the cell dysfunction eventually leads to cell death, resulting in the tissue and organ damage observed in NPD types C1 and C2</w:t>
            </w:r>
            <w:r>
              <w:t xml:space="preserve"> </w:t>
            </w:r>
            <w:r>
              <w:fldChar w:fldCharType="begin"/>
            </w:r>
            <w:r>
              <w:instrText xml:space="preserve"> ADDIN EN.CITE &lt;EndNote&gt;&lt;Cite&gt;&lt;Author&gt;NIH&lt;/Author&gt;&lt;Year&gt;2015&lt;/Year&gt;&lt;RecNum&gt;47&lt;/RecNum&gt;&lt;DisplayText&gt;(NIH, 2015d)&lt;/DisplayText&gt;&lt;record&gt;&lt;rec-number&gt;47&lt;/rec-number&gt;&lt;foreign-keys&gt;&lt;key app="EN" db-id="tvd2x2aeprp90te22eox9tvxfe2a0xv0tdfs" timestamp="1623373159"&gt;47&lt;/key&gt;&lt;/foreign-keys&gt;&lt;ref-type name="Web Page"&gt;12&lt;/ref-type&gt;&lt;contributors&gt;&lt;authors&gt;&lt;author&gt;NIH&lt;/author&gt;&lt;/authors&gt;&lt;/contributors&gt;&lt;titles&gt;&lt;title&gt;Niemann-Pick disease&lt;/title&gt;&lt;secondary-title&gt;Genetics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Medicine&lt;/publisher&gt;&lt;urls&gt;&lt;related-urls&gt;&lt;url&gt;https://ghr.nlm.nih.gov/condition/niemann-pick-disease&lt;/url&gt;&lt;/related-urls&gt;&lt;/urls&gt;&lt;/record&gt;&lt;/Cite&gt;&lt;/EndNote&gt;</w:instrText>
            </w:r>
            <w:r>
              <w:fldChar w:fldCharType="separate"/>
            </w:r>
            <w:r>
              <w:rPr>
                <w:noProof/>
              </w:rPr>
              <w:t>(NIH, 2015d)</w:t>
            </w:r>
            <w:r>
              <w:fldChar w:fldCharType="end"/>
            </w:r>
            <w:r>
              <w:t>.</w:t>
            </w:r>
          </w:p>
        </w:tc>
        <w:tc>
          <w:tcPr>
            <w:tcW w:w="1016" w:type="pct"/>
            <w:tcBorders>
              <w:top w:val="single" w:sz="4" w:space="0" w:color="auto"/>
              <w:bottom w:val="single" w:sz="4" w:space="0" w:color="auto"/>
            </w:tcBorders>
          </w:tcPr>
          <w:p w14:paraId="3F92C087" w14:textId="024F402D" w:rsidR="003B2EF3" w:rsidRPr="00546602" w:rsidRDefault="003B2EF3" w:rsidP="00024485">
            <w:pPr>
              <w:pStyle w:val="Tabletext"/>
            </w:pPr>
            <w:r w:rsidRPr="00546602">
              <w:lastRenderedPageBreak/>
              <w:t>NPD-A</w:t>
            </w:r>
            <w:r>
              <w:t xml:space="preserve">: </w:t>
            </w:r>
            <w:r w:rsidRPr="00546602">
              <w:t>Progressive neurologic disease. Physical and occupational therapy to maximi</w:t>
            </w:r>
            <w:r>
              <w:t>s</w:t>
            </w:r>
            <w:r w:rsidRPr="00546602">
              <w:t>e function and to prevent contractures is appropriate.</w:t>
            </w:r>
            <w:r w:rsidR="00F84B1C">
              <w:t xml:space="preserve"> </w:t>
            </w:r>
            <w:r w:rsidRPr="00546602">
              <w:t>Regular consultation with a dietician should be provided</w:t>
            </w:r>
            <w:r>
              <w:t>, and t</w:t>
            </w:r>
            <w:r w:rsidRPr="00546602">
              <w:t xml:space="preserve">he use of nasogastric tube </w:t>
            </w:r>
            <w:r w:rsidR="0020327D" w:rsidRPr="00546602">
              <w:t>feeding,</w:t>
            </w:r>
            <w:r w:rsidRPr="00546602">
              <w:t xml:space="preserve"> or surgical placement of a feeding tube </w:t>
            </w:r>
            <w:r>
              <w:t>may be required</w:t>
            </w:r>
            <w:r w:rsidRPr="00546602">
              <w:t>.</w:t>
            </w:r>
            <w:r>
              <w:t xml:space="preserve"> Medications for </w:t>
            </w:r>
            <w:r w:rsidRPr="00546602">
              <w:t xml:space="preserve">sleep disturbance </w:t>
            </w:r>
            <w:r>
              <w:t xml:space="preserve">may be needed </w:t>
            </w:r>
            <w:r>
              <w:fldChar w:fldCharType="begin"/>
            </w:r>
            <w:r>
              <w:instrText xml:space="preserve"> ADDIN EN.CITE &lt;EndNote&gt;&lt;Cite&gt;&lt;Author&gt;Wasserstein&lt;/Author&gt;&lt;Year&gt;2015&lt;/Year&gt;&lt;RecNum&gt;48&lt;/RecNum&gt;&lt;DisplayText&gt;(Wasserstein &amp;amp; Schuchman, 2015)&lt;/DisplayText&gt;&lt;record&gt;&lt;rec-number&gt;48&lt;/rec-number&gt;&lt;foreign-keys&gt;&lt;key app="EN" db-id="tvd2x2aeprp90te22eox9tvxfe2a0xv0tdfs" timestamp="1623373159"&gt;48&lt;/key&gt;&lt;/foreign-keys&gt;&lt;ref-type name="Web Page"&gt;12&lt;/ref-type&gt;&lt;contributors&gt;&lt;authors&gt;&lt;author&gt;Wasserstein, M.P.&lt;/author&gt;&lt;author&gt;Schuchman, E.H.&lt;/author&gt;&lt;/authors&gt;&lt;secondary-authors&gt;&lt;author&gt;Adam, M.P.&lt;/author&gt;&lt;author&gt;Ardinger, H.H.&lt;/author&gt;&lt;author&gt;Pagon, R.A.&lt;/author&gt;&lt;/secondary-authors&gt;&lt;/contributors&gt;&lt;titles&gt;&lt;title&gt;Acid Sphingomyelinase Deficiency&lt;/title&gt;&lt;secondary-title&gt;GeneReviews®&lt;/secondary-title&gt;&lt;/titles&gt;&lt;volume&gt;2020&lt;/volume&gt;&lt;number&gt;24th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Washington&lt;/publisher&gt;&lt;urls&gt;&lt;related-urls&gt;&lt;url&gt;https://www.ncbi.nlm.nih.gov/books/NBK1370/&lt;/url&gt;&lt;/related-urls&gt;&lt;/urls&gt;&lt;/record&gt;&lt;/Cite&gt;&lt;/EndNote&gt;</w:instrText>
            </w:r>
            <w:r>
              <w:fldChar w:fldCharType="separate"/>
            </w:r>
            <w:r>
              <w:rPr>
                <w:noProof/>
              </w:rPr>
              <w:t>(Wasserstein &amp; Schuchman, 2015)</w:t>
            </w:r>
            <w:r>
              <w:fldChar w:fldCharType="end"/>
            </w:r>
            <w:r>
              <w:t>.</w:t>
            </w:r>
          </w:p>
          <w:p w14:paraId="7BF0DDDF" w14:textId="26962826" w:rsidR="003B2EF3" w:rsidRPr="00546602" w:rsidRDefault="003B2EF3" w:rsidP="00024485">
            <w:pPr>
              <w:pStyle w:val="Tabletext"/>
            </w:pPr>
            <w:r w:rsidRPr="00546602">
              <w:lastRenderedPageBreak/>
              <w:t>NPD-B</w:t>
            </w:r>
            <w:r>
              <w:t xml:space="preserve">: </w:t>
            </w:r>
            <w:r w:rsidRPr="00546602">
              <w:t>Most affected individuals have thrombocytopenia</w:t>
            </w:r>
            <w:r>
              <w:t xml:space="preserve"> and blood </w:t>
            </w:r>
            <w:r w:rsidRPr="00546602">
              <w:t xml:space="preserve">transfusion </w:t>
            </w:r>
            <w:r>
              <w:t>may be required</w:t>
            </w:r>
            <w:r w:rsidRPr="00546602">
              <w:t xml:space="preserve">. </w:t>
            </w:r>
            <w:r>
              <w:t>P</w:t>
            </w:r>
            <w:r w:rsidRPr="00546602">
              <w:t>artial splenectomy may be considered for individuals with severe hypersplenism</w:t>
            </w:r>
            <w:r>
              <w:t>. T</w:t>
            </w:r>
            <w:r w:rsidRPr="00546602">
              <w:t xml:space="preserve">otal splenectomy should be avoided </w:t>
            </w:r>
            <w:r>
              <w:t xml:space="preserve">as the </w:t>
            </w:r>
            <w:r w:rsidRPr="00546602">
              <w:t xml:space="preserve">removal of the spleen </w:t>
            </w:r>
            <w:r>
              <w:t xml:space="preserve">will </w:t>
            </w:r>
            <w:r w:rsidRPr="00546602">
              <w:t>exacerbate pulmonary disease.</w:t>
            </w:r>
            <w:r>
              <w:t xml:space="preserve"> Patients </w:t>
            </w:r>
            <w:r w:rsidRPr="00546602">
              <w:t>with symptomatic pulmonary disease may require supplemental oxygen.</w:t>
            </w:r>
            <w:r w:rsidR="00F84B1C">
              <w:t xml:space="preserve"> </w:t>
            </w:r>
            <w:r w:rsidRPr="00546602">
              <w:t>Adults with hyperlipidaemia should be treated to bring the serum concentration of total cholesterol into the normal range.</w:t>
            </w:r>
            <w:r w:rsidR="00F84B1C">
              <w:t xml:space="preserve"> </w:t>
            </w:r>
            <w:r w:rsidRPr="00546602">
              <w:t xml:space="preserve">Dietary assessment is indicated in all cases to assure that calorie intake is adequate </w:t>
            </w:r>
            <w:r>
              <w:t>to prevent</w:t>
            </w:r>
            <w:r w:rsidRPr="00546602">
              <w:t xml:space="preserve"> growth</w:t>
            </w:r>
            <w:r>
              <w:t xml:space="preserve"> retardation </w:t>
            </w:r>
            <w:r>
              <w:fldChar w:fldCharType="begin"/>
            </w:r>
            <w:r>
              <w:instrText xml:space="preserve"> ADDIN EN.CITE &lt;EndNote&gt;&lt;Cite&gt;&lt;Author&gt;Wasserstein&lt;/Author&gt;&lt;Year&gt;2015&lt;/Year&gt;&lt;RecNum&gt;48&lt;/RecNum&gt;&lt;DisplayText&gt;(Wasserstein &amp;amp; Schuchman, 2015)&lt;/DisplayText&gt;&lt;record&gt;&lt;rec-number&gt;48&lt;/rec-number&gt;&lt;foreign-keys&gt;&lt;key app="EN" db-id="tvd2x2aeprp90te22eox9tvxfe2a0xv0tdfs" timestamp="1623373159"&gt;48&lt;/key&gt;&lt;/foreign-keys&gt;&lt;ref-type name="Web Page"&gt;12&lt;/ref-type&gt;&lt;contributors&gt;&lt;authors&gt;&lt;author&gt;Wasserstein, M.P.&lt;/author&gt;&lt;author&gt;Schuchman, E.H.&lt;/author&gt;&lt;/authors&gt;&lt;secondary-authors&gt;&lt;author&gt;Adam, M.P.&lt;/author&gt;&lt;author&gt;Ardinger, H.H.&lt;/author&gt;&lt;author&gt;Pagon, R.A.&lt;/author&gt;&lt;/secondary-authors&gt;&lt;/contributors&gt;&lt;titles&gt;&lt;title&gt;Acid Sphingomyelinase Deficiency&lt;/title&gt;&lt;secondary-title&gt;GeneReviews®&lt;/secondary-title&gt;&lt;/titles&gt;&lt;volume&gt;2020&lt;/volume&gt;&lt;number&gt;24th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Washington&lt;/publisher&gt;&lt;urls&gt;&lt;related-urls&gt;&lt;url&gt;https://www.ncbi.nlm.nih.gov/books/NBK1370/&lt;/url&gt;&lt;/related-urls&gt;&lt;/urls&gt;&lt;/record&gt;&lt;/Cite&gt;&lt;/EndNote&gt;</w:instrText>
            </w:r>
            <w:r>
              <w:fldChar w:fldCharType="separate"/>
            </w:r>
            <w:r>
              <w:rPr>
                <w:noProof/>
              </w:rPr>
              <w:t>(Wasserstein &amp; Schuchman, 2015)</w:t>
            </w:r>
            <w:r>
              <w:fldChar w:fldCharType="end"/>
            </w:r>
            <w:r>
              <w:t>.</w:t>
            </w:r>
          </w:p>
          <w:p w14:paraId="627CA441" w14:textId="77777777" w:rsidR="003B2EF3" w:rsidRPr="00FA4A2E" w:rsidRDefault="003B2EF3" w:rsidP="00024485">
            <w:pPr>
              <w:pStyle w:val="Tabletext"/>
            </w:pPr>
            <w:r w:rsidRPr="00546602">
              <w:t>Orthotopic liver transplantation in infant</w:t>
            </w:r>
            <w:r>
              <w:t>s</w:t>
            </w:r>
            <w:r w:rsidRPr="00546602">
              <w:t xml:space="preserve"> with NPD-A and amniotic cell transplantation in several individuals with NPD-B have been attempted with little or no success</w:t>
            </w:r>
            <w:r>
              <w:t xml:space="preserve"> </w:t>
            </w:r>
            <w:r>
              <w:fldChar w:fldCharType="begin"/>
            </w:r>
            <w:r>
              <w:instrText xml:space="preserve"> ADDIN EN.CITE &lt;EndNote&gt;&lt;Cite&gt;&lt;Author&gt;Wasserstein&lt;/Author&gt;&lt;Year&gt;2015&lt;/Year&gt;&lt;RecNum&gt;48&lt;/RecNum&gt;&lt;DisplayText&gt;(Wasserstein &amp;amp; Schuchman, 2015)&lt;/DisplayText&gt;&lt;record&gt;&lt;rec-number&gt;48&lt;/rec-number&gt;&lt;foreign-keys&gt;&lt;key app="EN" db-id="tvd2x2aeprp90te22eox9tvxfe2a0xv0tdfs" timestamp="1623373159"&gt;48&lt;/key&gt;&lt;/foreign-keys&gt;&lt;ref-type name="Web Page"&gt;12&lt;/ref-type&gt;&lt;contributors&gt;&lt;authors&gt;&lt;author&gt;Wasserstein, M.P.&lt;/author&gt;&lt;author&gt;Schuchman, E.H.&lt;/author&gt;&lt;/authors&gt;&lt;secondary-authors&gt;&lt;author&gt;Adam, M.P.&lt;/author&gt;&lt;author&gt;Ardinger, H.H.&lt;/author&gt;&lt;author&gt;Pagon, R.A.&lt;/author&gt;&lt;/secondary-authors&gt;&lt;/contributors&gt;&lt;titles&gt;&lt;title&gt;Acid Sphingomyelinase Deficiency&lt;/title&gt;&lt;secondary-title&gt;GeneReviews®&lt;/secondary-title&gt;&lt;/titles&gt;&lt;volume&gt;2020&lt;/volume&gt;&lt;number&gt;24th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Washington&lt;/publisher&gt;&lt;urls&gt;&lt;related-urls&gt;&lt;url&gt;https://www.ncbi.nlm.nih.gov/books/NBK1370/&lt;/url&gt;&lt;/related-urls&gt;&lt;/urls&gt;&lt;/record&gt;&lt;/Cite&gt;&lt;/EndNote&gt;</w:instrText>
            </w:r>
            <w:r>
              <w:fldChar w:fldCharType="separate"/>
            </w:r>
            <w:r>
              <w:rPr>
                <w:noProof/>
              </w:rPr>
              <w:t>(Wasserstein &amp; Schuchman, 2015)</w:t>
            </w:r>
            <w:r>
              <w:fldChar w:fldCharType="end"/>
            </w:r>
            <w:r>
              <w:t>.</w:t>
            </w:r>
          </w:p>
        </w:tc>
        <w:tc>
          <w:tcPr>
            <w:tcW w:w="674" w:type="pct"/>
            <w:tcBorders>
              <w:top w:val="single" w:sz="4" w:space="0" w:color="auto"/>
              <w:bottom w:val="single" w:sz="4" w:space="0" w:color="auto"/>
            </w:tcBorders>
          </w:tcPr>
          <w:p w14:paraId="62B62F59" w14:textId="77777777" w:rsidR="003B2EF3" w:rsidRPr="00546602" w:rsidRDefault="003B2EF3" w:rsidP="00024485">
            <w:pPr>
              <w:pStyle w:val="Tabletext"/>
            </w:pPr>
            <w:r w:rsidRPr="00546602">
              <w:lastRenderedPageBreak/>
              <w:t>Population prevalence estimated to be 1:250,000</w:t>
            </w:r>
            <w:r>
              <w:t xml:space="preserve"> </w:t>
            </w:r>
            <w:r>
              <w:fldChar w:fldCharType="begin"/>
            </w:r>
            <w:r>
              <w:instrText xml:space="preserve"> ADDIN EN.CITE &lt;EndNote&gt;&lt;Cite&gt;&lt;Author&gt;Wasserstein&lt;/Author&gt;&lt;Year&gt;2015&lt;/Year&gt;&lt;RecNum&gt;48&lt;/RecNum&gt;&lt;DisplayText&gt;(Wasserstein &amp;amp; Schuchman, 2015)&lt;/DisplayText&gt;&lt;record&gt;&lt;rec-number&gt;48&lt;/rec-number&gt;&lt;foreign-keys&gt;&lt;key app="EN" db-id="tvd2x2aeprp90te22eox9tvxfe2a0xv0tdfs" timestamp="1623373159"&gt;48&lt;/key&gt;&lt;/foreign-keys&gt;&lt;ref-type name="Web Page"&gt;12&lt;/ref-type&gt;&lt;contributors&gt;&lt;authors&gt;&lt;author&gt;Wasserstein, M.P.&lt;/author&gt;&lt;author&gt;Schuchman, E.H.&lt;/author&gt;&lt;/authors&gt;&lt;secondary-authors&gt;&lt;author&gt;Adam, M.P.&lt;/author&gt;&lt;author&gt;Ardinger, H.H.&lt;/author&gt;&lt;author&gt;Pagon, R.A.&lt;/author&gt;&lt;/secondary-authors&gt;&lt;/contributors&gt;&lt;titles&gt;&lt;title&gt;Acid Sphingomyelinase Deficiency&lt;/title&gt;&lt;secondary-title&gt;GeneReviews®&lt;/secondary-title&gt;&lt;/titles&gt;&lt;volume&gt;2020&lt;/volume&gt;&lt;number&gt;24th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Washington&lt;/publisher&gt;&lt;urls&gt;&lt;related-urls&gt;&lt;url&gt;https://www.ncbi.nlm.nih.gov/books/NBK1370/&lt;/url&gt;&lt;/related-urls&gt;&lt;/urls&gt;&lt;/record&gt;&lt;/Cite&gt;&lt;/EndNote&gt;</w:instrText>
            </w:r>
            <w:r>
              <w:fldChar w:fldCharType="separate"/>
            </w:r>
            <w:r>
              <w:rPr>
                <w:noProof/>
              </w:rPr>
              <w:t>(Wasserstein &amp; Schuchman, 2015)</w:t>
            </w:r>
            <w:r>
              <w:fldChar w:fldCharType="end"/>
            </w:r>
          </w:p>
          <w:p w14:paraId="02434C17" w14:textId="77777777" w:rsidR="003B2EF3" w:rsidRPr="00FA4A2E" w:rsidRDefault="003B2EF3" w:rsidP="00024485">
            <w:pPr>
              <w:pStyle w:val="Tabletext"/>
            </w:pPr>
            <w:r w:rsidRPr="009C6707">
              <w:rPr>
                <w:bCs/>
              </w:rPr>
              <w:t>Carrier frequency</w:t>
            </w:r>
            <w:r>
              <w:br/>
              <w:t xml:space="preserve">1:80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top w:val="single" w:sz="4" w:space="0" w:color="auto"/>
              <w:bottom w:val="single" w:sz="4" w:space="0" w:color="auto"/>
            </w:tcBorders>
          </w:tcPr>
          <w:p w14:paraId="6ACAD144" w14:textId="01377462" w:rsidR="003B2EF3" w:rsidRDefault="003B2EF3" w:rsidP="00024485">
            <w:pPr>
              <w:pStyle w:val="Tabletext"/>
            </w:pPr>
            <w:r>
              <w:t xml:space="preserve">3 </w:t>
            </w:r>
            <w:r w:rsidRPr="009221B4">
              <w:t xml:space="preserve">founder point </w:t>
            </w:r>
            <w:r>
              <w:t>variant</w:t>
            </w:r>
            <w:r w:rsidRPr="009221B4">
              <w:t xml:space="preserve">s account for 97% of </w:t>
            </w:r>
            <w:r w:rsidR="00666B40">
              <w:t>Ashkenazi Jewish</w:t>
            </w:r>
            <w:r w:rsidR="003B0ABB">
              <w:t xml:space="preserve"> </w:t>
            </w:r>
            <w:r w:rsidRPr="009221B4">
              <w:t>carriers</w:t>
            </w:r>
            <w:r>
              <w:t>:</w:t>
            </w:r>
          </w:p>
          <w:p w14:paraId="01CAFF6B" w14:textId="77777777" w:rsidR="003B2EF3" w:rsidRDefault="003B2EF3" w:rsidP="00024485">
            <w:pPr>
              <w:pStyle w:val="Tabletext"/>
            </w:pPr>
            <w:r w:rsidRPr="009221B4">
              <w:t>c.911T&gt;C</w:t>
            </w:r>
            <w:r>
              <w:br/>
            </w:r>
            <w:r w:rsidRPr="009221B4">
              <w:t>p.Leu304Pro</w:t>
            </w:r>
          </w:p>
          <w:p w14:paraId="63B54AAA" w14:textId="77777777" w:rsidR="003B2EF3" w:rsidRDefault="003B2EF3" w:rsidP="00024485">
            <w:pPr>
              <w:pStyle w:val="Tabletext"/>
            </w:pPr>
            <w:r w:rsidRPr="009221B4">
              <w:t xml:space="preserve">c996delC </w:t>
            </w:r>
          </w:p>
          <w:p w14:paraId="3CFE4EB3" w14:textId="77777777" w:rsidR="003B2EF3" w:rsidRDefault="003B2EF3" w:rsidP="00024485">
            <w:pPr>
              <w:pStyle w:val="Tabletext"/>
            </w:pPr>
            <w:r w:rsidRPr="009221B4">
              <w:t>c.1493G&gt;T</w:t>
            </w:r>
            <w:r>
              <w:br/>
            </w:r>
            <w:r w:rsidRPr="009221B4">
              <w:t xml:space="preserve">p.Arg498Leu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p w14:paraId="031E0BF0" w14:textId="77777777" w:rsidR="003B2EF3" w:rsidRPr="00132ECC" w:rsidRDefault="003B2EF3" w:rsidP="00024485">
            <w:pPr>
              <w:pStyle w:val="Tabletext"/>
            </w:pPr>
            <w:r>
              <w:t>Note that many current-generation diagnostic assays only test for type A. More modern genomic technologies may be able to test for the other types.</w:t>
            </w:r>
          </w:p>
        </w:tc>
      </w:tr>
      <w:tr w:rsidR="003B2EF3" w:rsidRPr="00E82F54" w14:paraId="27A43B6A" w14:textId="77777777" w:rsidTr="007C3C21">
        <w:tc>
          <w:tcPr>
            <w:tcW w:w="498" w:type="pct"/>
            <w:tcBorders>
              <w:top w:val="single" w:sz="4" w:space="0" w:color="auto"/>
              <w:bottom w:val="single" w:sz="4" w:space="0" w:color="auto"/>
            </w:tcBorders>
          </w:tcPr>
          <w:p w14:paraId="096CBFF4" w14:textId="77777777" w:rsidR="003B2EF3" w:rsidRPr="00F503C6" w:rsidRDefault="003B2EF3" w:rsidP="00024485">
            <w:pPr>
              <w:pStyle w:val="Tabletext"/>
            </w:pPr>
            <w:r w:rsidRPr="00F503C6">
              <w:lastRenderedPageBreak/>
              <w:t xml:space="preserve">Bloom syndrome </w:t>
            </w:r>
          </w:p>
        </w:tc>
        <w:tc>
          <w:tcPr>
            <w:tcW w:w="822" w:type="pct"/>
            <w:tcBorders>
              <w:top w:val="single" w:sz="4" w:space="0" w:color="auto"/>
              <w:bottom w:val="single" w:sz="4" w:space="0" w:color="auto"/>
            </w:tcBorders>
          </w:tcPr>
          <w:p w14:paraId="2C0CB97A" w14:textId="77777777" w:rsidR="003B2EF3" w:rsidRDefault="003B2EF3" w:rsidP="00024485">
            <w:pPr>
              <w:pStyle w:val="Tabletext"/>
            </w:pPr>
            <w:r w:rsidRPr="00163065">
              <w:t>Bloom syndrome is characteri</w:t>
            </w:r>
            <w:r>
              <w:t>s</w:t>
            </w:r>
            <w:r w:rsidRPr="00163065">
              <w:t>ed by</w:t>
            </w:r>
            <w:r>
              <w:t>:</w:t>
            </w:r>
            <w:r w:rsidRPr="00163065">
              <w:t xml:space="preserve"> </w:t>
            </w:r>
          </w:p>
          <w:p w14:paraId="7F343BE2" w14:textId="77777777" w:rsidR="003B2EF3" w:rsidRDefault="003B2EF3" w:rsidP="00556800">
            <w:pPr>
              <w:pStyle w:val="Tabletext"/>
              <w:numPr>
                <w:ilvl w:val="0"/>
                <w:numId w:val="7"/>
              </w:numPr>
            </w:pPr>
            <w:r w:rsidRPr="00B005C5">
              <w:t>short stature</w:t>
            </w:r>
            <w:r>
              <w:t xml:space="preserve">, with individuals </w:t>
            </w:r>
            <w:r w:rsidRPr="00B005C5">
              <w:t>rarely exceed</w:t>
            </w:r>
            <w:r>
              <w:t>ing</w:t>
            </w:r>
            <w:r w:rsidRPr="00B005C5">
              <w:t xml:space="preserve"> 5 feet tall in </w:t>
            </w:r>
            <w:proofErr w:type="gramStart"/>
            <w:r w:rsidRPr="00B005C5">
              <w:t>adulthood</w:t>
            </w:r>
            <w:r>
              <w:t>;</w:t>
            </w:r>
            <w:proofErr w:type="gramEnd"/>
          </w:p>
          <w:p w14:paraId="11EA40A5" w14:textId="77777777" w:rsidR="003B2EF3" w:rsidRDefault="003B2EF3" w:rsidP="00556800">
            <w:pPr>
              <w:pStyle w:val="Tabletext"/>
              <w:numPr>
                <w:ilvl w:val="0"/>
                <w:numId w:val="7"/>
              </w:numPr>
            </w:pPr>
            <w:r w:rsidRPr="007C7E64">
              <w:t>excessive photosensitivity with facial lupus-like skin lesions</w:t>
            </w:r>
            <w:r>
              <w:t xml:space="preserve">, </w:t>
            </w:r>
            <w:r w:rsidRPr="00B005C5">
              <w:t>characterised by the presence of telangiectasias</w:t>
            </w:r>
            <w:r>
              <w:t>.</w:t>
            </w:r>
            <w:r w:rsidRPr="00B005C5">
              <w:t xml:space="preserve"> Hypopigmentation or hyperpigmentation may occur on skin not exposed to the sun</w:t>
            </w:r>
            <w:r>
              <w:t>; and</w:t>
            </w:r>
          </w:p>
          <w:p w14:paraId="62BEB103" w14:textId="77777777" w:rsidR="003B2EF3" w:rsidRPr="00B005C5" w:rsidRDefault="003B2EF3" w:rsidP="00556800">
            <w:pPr>
              <w:pStyle w:val="Tabletext"/>
              <w:numPr>
                <w:ilvl w:val="0"/>
                <w:numId w:val="7"/>
              </w:numPr>
            </w:pPr>
            <w:r w:rsidRPr="00B005C5">
              <w:t xml:space="preserve">an increased risk of </w:t>
            </w:r>
            <w:r>
              <w:t xml:space="preserve">multiple </w:t>
            </w:r>
            <w:r w:rsidRPr="00B005C5">
              <w:t>cancer</w:t>
            </w:r>
            <w:r>
              <w:t xml:space="preserve">s (especially leukaemia and lymphoma), that arise earlier in life </w:t>
            </w:r>
            <w:r w:rsidRPr="00163065">
              <w:t>than they do in the general population</w:t>
            </w:r>
            <w:r>
              <w:t xml:space="preserve"> </w:t>
            </w:r>
            <w:r>
              <w:fldChar w:fldCharType="begin"/>
            </w:r>
            <w:r>
              <w:instrText xml:space="preserve"> ADDIN EN.CITE &lt;EndNote&gt;&lt;Cite&gt;&lt;Author&gt;NIH&lt;/Author&gt;&lt;Year&gt;2015&lt;/Year&gt;&lt;RecNum&gt;49&lt;/RecNum&gt;&lt;DisplayText&gt;(NIH, 2015a)&lt;/DisplayText&gt;&lt;record&gt;&lt;rec-number&gt;49&lt;/rec-number&gt;&lt;foreign-keys&gt;&lt;key app="EN" db-id="tvd2x2aeprp90te22eox9tvxfe2a0xv0tdfs" timestamp="1623373159"&gt;49&lt;/key&gt;&lt;/foreign-keys&gt;&lt;ref-type name="Web Page"&gt;12&lt;/ref-type&gt;&lt;contributors&gt;&lt;authors&gt;&lt;author&gt;NIH&lt;/author&gt;&lt;/authors&gt;&lt;/contributors&gt;&lt;titles&gt;&lt;title&gt;Bloom syndrome&lt;/title&gt;&lt;secondary-title&gt;Genetics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Medicine&lt;/publisher&gt;&lt;urls&gt;&lt;related-urls&gt;&lt;url&gt;https://ghr.nlm.nih.gov/condition/bloom-syndrome&lt;/url&gt;&lt;/related-urls&gt;&lt;/urls&gt;&lt;/record&gt;&lt;/Cite&gt;&lt;/EndNote&gt;</w:instrText>
            </w:r>
            <w:r>
              <w:fldChar w:fldCharType="separate"/>
            </w:r>
            <w:r>
              <w:t>(NIH, 2015a)</w:t>
            </w:r>
            <w:r>
              <w:fldChar w:fldCharType="end"/>
            </w:r>
            <w:r>
              <w:t>.</w:t>
            </w:r>
          </w:p>
          <w:p w14:paraId="4899AD56" w14:textId="77777777" w:rsidR="003B2EF3" w:rsidRPr="00FA4A2E" w:rsidRDefault="003B2EF3" w:rsidP="00024485">
            <w:pPr>
              <w:pStyle w:val="Tabletext"/>
            </w:pPr>
            <w:r>
              <w:t>In addition, i</w:t>
            </w:r>
            <w:r w:rsidRPr="00163065">
              <w:t xml:space="preserve">ndividuals with Bloom syndrome have a high-pitched voice and distinctive </w:t>
            </w:r>
            <w:r w:rsidRPr="00163065">
              <w:lastRenderedPageBreak/>
              <w:t xml:space="preserve">facial features including a long, narrow face; a small lower jaw; and prominent nose and ears. </w:t>
            </w:r>
            <w:r>
              <w:t>L</w:t>
            </w:r>
            <w:r w:rsidRPr="00163065">
              <w:t>earning disabilities, an increased risk of diabetes, chronic obstructive pulmonary disease, and mild immune system abnormalities leading to recurrent infections of the upper respiratory tract, ears, and lungs during infancy</w:t>
            </w:r>
            <w:r>
              <w:t>, have also been noted</w:t>
            </w:r>
            <w:r w:rsidRPr="00163065">
              <w:t xml:space="preserve">. </w:t>
            </w:r>
            <w:r>
              <w:t>H</w:t>
            </w:r>
            <w:r w:rsidRPr="007C7E64">
              <w:t>ypo</w:t>
            </w:r>
            <w:r>
              <w:t>-</w:t>
            </w:r>
            <w:proofErr w:type="spellStart"/>
            <w:r w:rsidRPr="007C7E64">
              <w:t>gonadism</w:t>
            </w:r>
            <w:proofErr w:type="spellEnd"/>
            <w:r w:rsidRPr="00163065">
              <w:t xml:space="preserve"> </w:t>
            </w:r>
            <w:r>
              <w:t xml:space="preserve">is also a feature, with males usually </w:t>
            </w:r>
            <w:r w:rsidRPr="00163065">
              <w:t>infertile</w:t>
            </w:r>
            <w:r>
              <w:t xml:space="preserve">. Females have </w:t>
            </w:r>
            <w:r w:rsidRPr="00163065">
              <w:t>reduced fertility and experienc</w:t>
            </w:r>
            <w:r>
              <w:t>e</w:t>
            </w:r>
            <w:r w:rsidRPr="00163065">
              <w:t xml:space="preserve"> menopause at an earlier age than usual</w:t>
            </w:r>
            <w:r>
              <w:t xml:space="preserve"> </w:t>
            </w:r>
            <w:r>
              <w:fldChar w:fldCharType="begin"/>
            </w:r>
            <w:r>
              <w:instrText xml:space="preserve"> ADDIN EN.CITE &lt;EndNote&gt;&lt;Cite&gt;&lt;Author&gt;NIH&lt;/Author&gt;&lt;Year&gt;2015&lt;/Year&gt;&lt;RecNum&gt;49&lt;/RecNum&gt;&lt;DisplayText&gt;(NIH, 2015a)&lt;/DisplayText&gt;&lt;record&gt;&lt;rec-number&gt;49&lt;/rec-number&gt;&lt;foreign-keys&gt;&lt;key app="EN" db-id="tvd2x2aeprp90te22eox9tvxfe2a0xv0tdfs" timestamp="1623373159"&gt;49&lt;/key&gt;&lt;/foreign-keys&gt;&lt;ref-type name="Web Page"&gt;12&lt;/ref-type&gt;&lt;contributors&gt;&lt;authors&gt;&lt;author&gt;NIH&lt;/author&gt;&lt;/authors&gt;&lt;/contributors&gt;&lt;titles&gt;&lt;title&gt;Bloom syndrome&lt;/title&gt;&lt;secondary-title&gt;Genetics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Medicine&lt;/publisher&gt;&lt;urls&gt;&lt;related-urls&gt;&lt;url&gt;https://ghr.nlm.nih.gov/condition/bloom-syndrome&lt;/url&gt;&lt;/related-urls&gt;&lt;/urls&gt;&lt;/record&gt;&lt;/Cite&gt;&lt;/EndNote&gt;</w:instrText>
            </w:r>
            <w:r>
              <w:fldChar w:fldCharType="separate"/>
            </w:r>
            <w:r>
              <w:t>(NIH, 2015a)</w:t>
            </w:r>
            <w:r>
              <w:fldChar w:fldCharType="end"/>
            </w:r>
            <w:r>
              <w:t>.</w:t>
            </w:r>
          </w:p>
        </w:tc>
        <w:tc>
          <w:tcPr>
            <w:tcW w:w="864" w:type="pct"/>
            <w:tcBorders>
              <w:top w:val="single" w:sz="4" w:space="0" w:color="auto"/>
              <w:bottom w:val="single" w:sz="4" w:space="0" w:color="auto"/>
            </w:tcBorders>
          </w:tcPr>
          <w:p w14:paraId="4A9B8FA3" w14:textId="698F10DF" w:rsidR="003B2EF3" w:rsidRDefault="003B2EF3" w:rsidP="00024485">
            <w:pPr>
              <w:pStyle w:val="Tabletext"/>
            </w:pPr>
            <w:r w:rsidRPr="004634E2">
              <w:lastRenderedPageBreak/>
              <w:t>Autosomal recessive.</w:t>
            </w:r>
          </w:p>
          <w:p w14:paraId="4CE2406C" w14:textId="77777777" w:rsidR="003B2EF3" w:rsidRDefault="003B2EF3" w:rsidP="00024485">
            <w:pPr>
              <w:pStyle w:val="Tabletext"/>
            </w:pPr>
            <w:r w:rsidRPr="000578E8">
              <w:t>Bloom syndrome</w:t>
            </w:r>
            <w:r>
              <w:t xml:space="preserve"> is caused by mutations in the </w:t>
            </w:r>
            <w:r w:rsidRPr="000578E8">
              <w:rPr>
                <w:rStyle w:val="Emphasis"/>
              </w:rPr>
              <w:t>BLM</w:t>
            </w:r>
            <w:r w:rsidRPr="000578E8">
              <w:t xml:space="preserve"> gene</w:t>
            </w:r>
            <w:r>
              <w:t xml:space="preserve">, which codes for the protein </w:t>
            </w:r>
            <w:r w:rsidRPr="00147EF3">
              <w:t>RECQL3</w:t>
            </w:r>
            <w:r>
              <w:t xml:space="preserve">, a </w:t>
            </w:r>
            <w:r w:rsidRPr="000578E8">
              <w:t>RecQ helicase</w:t>
            </w:r>
            <w:r>
              <w:t xml:space="preserve">, required for DNA replication and repair during cell division </w:t>
            </w:r>
            <w:r>
              <w:fldChar w:fldCharType="begin"/>
            </w:r>
            <w:r>
              <w:instrText xml:space="preserve"> ADDIN EN.CITE &lt;EndNote&gt;&lt;Cite&gt;&lt;Author&gt;NIH&lt;/Author&gt;&lt;Year&gt;2015&lt;/Year&gt;&lt;RecNum&gt;49&lt;/RecNum&gt;&lt;DisplayText&gt;(NIH, 2015a)&lt;/DisplayText&gt;&lt;record&gt;&lt;rec-number&gt;49&lt;/rec-number&gt;&lt;foreign-keys&gt;&lt;key app="EN" db-id="tvd2x2aeprp90te22eox9tvxfe2a0xv0tdfs" timestamp="1623373159"&gt;49&lt;/key&gt;&lt;/foreign-keys&gt;&lt;ref-type name="Web Page"&gt;12&lt;/ref-type&gt;&lt;contributors&gt;&lt;authors&gt;&lt;author&gt;NIH&lt;/author&gt;&lt;/authors&gt;&lt;/contributors&gt;&lt;titles&gt;&lt;title&gt;Bloom syndrome&lt;/title&gt;&lt;secondary-title&gt;Genetics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Medicine&lt;/publisher&gt;&lt;urls&gt;&lt;related-urls&gt;&lt;url&gt;https://ghr.nlm.nih.gov/condition/bloom-syndrome&lt;/url&gt;&lt;/related-urls&gt;&lt;/urls&gt;&lt;/record&gt;&lt;/Cite&gt;&lt;/EndNote&gt;</w:instrText>
            </w:r>
            <w:r>
              <w:fldChar w:fldCharType="separate"/>
            </w:r>
            <w:r>
              <w:rPr>
                <w:noProof/>
              </w:rPr>
              <w:t>(NIH, 2015a)</w:t>
            </w:r>
            <w:r>
              <w:fldChar w:fldCharType="end"/>
            </w:r>
            <w:r>
              <w:t>.</w:t>
            </w:r>
          </w:p>
          <w:p w14:paraId="1ECE51C4" w14:textId="77777777" w:rsidR="003B2EF3" w:rsidRPr="00FA4A2E" w:rsidRDefault="003B2EF3" w:rsidP="00024485">
            <w:pPr>
              <w:pStyle w:val="Tabletext"/>
            </w:pPr>
            <w:r>
              <w:t xml:space="preserve">In the absence of the BLM protein the </w:t>
            </w:r>
            <w:r w:rsidRPr="000578E8">
              <w:t xml:space="preserve">frequency of sister chromatid exchange </w:t>
            </w:r>
            <w:r>
              <w:t xml:space="preserve">is </w:t>
            </w:r>
            <w:r w:rsidRPr="000578E8">
              <w:t>10-fold</w:t>
            </w:r>
            <w:r>
              <w:t xml:space="preserve"> </w:t>
            </w:r>
            <w:r w:rsidRPr="000578E8">
              <w:t xml:space="preserve">higher than average. </w:t>
            </w:r>
            <w:r>
              <w:t>C</w:t>
            </w:r>
            <w:r w:rsidRPr="000578E8">
              <w:t>hromosome breakage occurs more frequently in affected individuals</w:t>
            </w:r>
            <w:r>
              <w:t>, resulting in gaps and breaks in the DNA. In addition, a lack of DNA</w:t>
            </w:r>
            <w:r w:rsidRPr="000578E8">
              <w:t xml:space="preserve"> repair</w:t>
            </w:r>
            <w:r>
              <w:t xml:space="preserve">, especially </w:t>
            </w:r>
            <w:r w:rsidRPr="000578E8">
              <w:t xml:space="preserve">damage caused by </w:t>
            </w:r>
            <w:r>
              <w:t>UV</w:t>
            </w:r>
            <w:r w:rsidRPr="000578E8">
              <w:t xml:space="preserve"> light, results in increased sun sensitivity. </w:t>
            </w:r>
            <w:r>
              <w:t xml:space="preserve">The </w:t>
            </w:r>
            <w:r w:rsidRPr="0038101E">
              <w:t>high rate of genomic instability</w:t>
            </w:r>
            <w:r>
              <w:t xml:space="preserve"> leads to</w:t>
            </w:r>
            <w:r w:rsidRPr="000578E8">
              <w:t xml:space="preserve"> cells divid</w:t>
            </w:r>
            <w:r>
              <w:t>ing</w:t>
            </w:r>
            <w:r w:rsidRPr="000578E8">
              <w:t xml:space="preserve"> </w:t>
            </w:r>
            <w:r>
              <w:t xml:space="preserve">uncontrollably, </w:t>
            </w:r>
            <w:r w:rsidRPr="000578E8">
              <w:t>lead</w:t>
            </w:r>
            <w:r>
              <w:t>ing</w:t>
            </w:r>
            <w:r w:rsidRPr="000578E8">
              <w:t xml:space="preserve"> to cancer</w:t>
            </w:r>
            <w:r>
              <w:t xml:space="preserve"> </w:t>
            </w:r>
            <w:r>
              <w:fldChar w:fldCharType="begin"/>
            </w:r>
            <w:r>
              <w:instrText xml:space="preserve"> ADDIN EN.CITE &lt;EndNote&gt;&lt;Cite&gt;&lt;Author&gt;NIH&lt;/Author&gt;&lt;Year&gt;2015&lt;/Year&gt;&lt;RecNum&gt;49&lt;/RecNum&gt;&lt;DisplayText&gt;(NIH, 2015a)&lt;/DisplayText&gt;&lt;record&gt;&lt;rec-number&gt;49&lt;/rec-number&gt;&lt;foreign-keys&gt;&lt;key app="EN" db-id="tvd2x2aeprp90te22eox9tvxfe2a0xv0tdfs" timestamp="1623373159"&gt;49&lt;/key&gt;&lt;/foreign-keys&gt;&lt;ref-type name="Web Page"&gt;12&lt;/ref-type&gt;&lt;contributors&gt;&lt;authors&gt;&lt;author&gt;NIH&lt;/author&gt;&lt;/authors&gt;&lt;/contributors&gt;&lt;titles&gt;&lt;title&gt;Bloom syndrome&lt;/title&gt;&lt;secondary-title&gt;Genetics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Medicine&lt;/publisher&gt;&lt;urls&gt;&lt;related-urls&gt;&lt;url&gt;https://ghr.nlm.nih.gov/condition/bloom-syndrome&lt;/url&gt;&lt;/related-urls&gt;&lt;/urls&gt;&lt;/record&gt;&lt;/Cite&gt;&lt;/EndNote&gt;</w:instrText>
            </w:r>
            <w:r>
              <w:fldChar w:fldCharType="separate"/>
            </w:r>
            <w:r>
              <w:rPr>
                <w:noProof/>
              </w:rPr>
              <w:t>(NIH, 2015a)</w:t>
            </w:r>
            <w:r>
              <w:fldChar w:fldCharType="end"/>
            </w:r>
            <w:r>
              <w:t>.</w:t>
            </w:r>
          </w:p>
        </w:tc>
        <w:tc>
          <w:tcPr>
            <w:tcW w:w="1016" w:type="pct"/>
            <w:tcBorders>
              <w:top w:val="single" w:sz="4" w:space="0" w:color="auto"/>
              <w:bottom w:val="single" w:sz="4" w:space="0" w:color="auto"/>
            </w:tcBorders>
          </w:tcPr>
          <w:p w14:paraId="6C23A092" w14:textId="77777777" w:rsidR="003B2EF3" w:rsidRDefault="003B2EF3" w:rsidP="00024485">
            <w:pPr>
              <w:pStyle w:val="Tabletext"/>
            </w:pPr>
            <w:r w:rsidRPr="00147EF3">
              <w:t>A multidisciplinary approach is important in management of these patients. Due to the rarity of this condition and its complexities, there is no consensus for management or treatment.</w:t>
            </w:r>
          </w:p>
          <w:p w14:paraId="2DD3EF1C" w14:textId="5BB71E62" w:rsidR="003B2EF3" w:rsidRPr="00FA4A2E" w:rsidRDefault="003B2EF3" w:rsidP="00024485">
            <w:pPr>
              <w:pStyle w:val="Tabletext"/>
            </w:pPr>
            <w:r>
              <w:t>A</w:t>
            </w:r>
            <w:r w:rsidRPr="00147EF3">
              <w:t>nnual breast, cervix and colon cancer screenings are recommended</w:t>
            </w:r>
            <w:r>
              <w:t xml:space="preserve"> as a</w:t>
            </w:r>
            <w:r w:rsidRPr="00147EF3">
              <w:t xml:space="preserve">dults </w:t>
            </w:r>
            <w:r>
              <w:t xml:space="preserve">with cancer may </w:t>
            </w:r>
            <w:r w:rsidRPr="00147EF3">
              <w:t>benefit from surgical resection of carcinomas at an early stage</w:t>
            </w:r>
            <w:r>
              <w:t>. D</w:t>
            </w:r>
            <w:r w:rsidRPr="00147EF3">
              <w:t xml:space="preserve">ue to the high risk of chromosomal breakage, radiation exposure </w:t>
            </w:r>
            <w:r>
              <w:t>should</w:t>
            </w:r>
            <w:r w:rsidRPr="00147EF3">
              <w:t xml:space="preserve"> be </w:t>
            </w:r>
            <w:r>
              <w:t xml:space="preserve">avoided for both diagnosis (MRI and </w:t>
            </w:r>
            <w:r w:rsidR="00596D38">
              <w:t>Ultrasound</w:t>
            </w:r>
            <w:r>
              <w:t xml:space="preserve"> instead of CT) and for treatment</w:t>
            </w:r>
            <w:r w:rsidRPr="00147EF3">
              <w:t xml:space="preserve">. </w:t>
            </w:r>
            <w:r>
              <w:t xml:space="preserve">In addition, chemotherapy doses should be adjusted to reduce toxicity, which may result in high levels of DNA fragmentation. </w:t>
            </w:r>
            <w:r w:rsidRPr="00147EF3">
              <w:t xml:space="preserve">The mean age of cancer diagnosis </w:t>
            </w:r>
            <w:r>
              <w:t xml:space="preserve">in Bloom syndrome patients </w:t>
            </w:r>
            <w:r w:rsidRPr="00147EF3">
              <w:t>is 23 years</w:t>
            </w:r>
            <w:r>
              <w:t>, with d</w:t>
            </w:r>
            <w:r w:rsidRPr="00147EF3">
              <w:t>eath occur</w:t>
            </w:r>
            <w:r>
              <w:t>ring</w:t>
            </w:r>
            <w:r w:rsidRPr="00147EF3">
              <w:t xml:space="preserve"> before 30 years of age</w:t>
            </w:r>
            <w:r>
              <w:t xml:space="preserve"> </w:t>
            </w:r>
            <w:r>
              <w:fldChar w:fldCharType="begin"/>
            </w:r>
            <w:r>
              <w:instrText xml:space="preserve"> ADDIN EN.CITE &lt;EndNote&gt;&lt;Cite&gt;&lt;Author&gt;Hafsi&lt;/Author&gt;&lt;Year&gt;2020&lt;/Year&gt;&lt;RecNum&gt;50&lt;/RecNum&gt;&lt;DisplayText&gt;(Hafsi, Badri, &amp;amp; Rice, 2020)&lt;/DisplayText&gt;&lt;record&gt;&lt;rec-number&gt;50&lt;/rec-number&gt;&lt;foreign-keys&gt;&lt;key app="EN" db-id="tvd2x2aeprp90te22eox9tvxfe2a0xv0tdfs" timestamp="1623373159"&gt;50&lt;/key&gt;&lt;/foreign-keys&gt;&lt;ref-type name="Web Page"&gt;12&lt;/ref-type&gt;&lt;contributors&gt;&lt;authors&gt;&lt;author&gt;Hafsi, W.&lt;/author&gt;&lt;author&gt;Badri, T.&lt;/author&gt;&lt;author&gt;Rice, A.S. &lt;/author&gt;&lt;/authors&gt;&lt;/contributors&gt;&lt;titles&gt;&lt;title&gt;Bloom Syndrome (Congenital Telangiectatic Erythema) &lt;/title&gt;&lt;/titles&gt;&lt;volume&gt;2020&lt;/volume&gt;&lt;number&gt;18th August&lt;/number&gt;&lt;dates&gt;&lt;year&gt;2020&lt;/year&gt;&lt;/dates&gt;&lt;pub-location&gt;Treasure Island, Florida, USA&lt;/pub-location&gt;&lt;publisher&gt;StatPearls Publishing&lt;/publisher&gt;&lt;urls&gt;&lt;related-urls&gt;&lt;url&gt;https://www.ncbi.nlm.nih.gov/books/NBK448138/&lt;/url&gt;&lt;/related-urls&gt;&lt;/urls&gt;&lt;/record&gt;&lt;/Cite&gt;&lt;/EndNote&gt;</w:instrText>
            </w:r>
            <w:r>
              <w:fldChar w:fldCharType="separate"/>
            </w:r>
            <w:r>
              <w:rPr>
                <w:noProof/>
              </w:rPr>
              <w:t>(Hafsi, Badri, &amp; Rice, 2020)</w:t>
            </w:r>
            <w:r>
              <w:fldChar w:fldCharType="end"/>
            </w:r>
            <w:r>
              <w:t>.</w:t>
            </w:r>
          </w:p>
        </w:tc>
        <w:tc>
          <w:tcPr>
            <w:tcW w:w="674" w:type="pct"/>
            <w:tcBorders>
              <w:top w:val="single" w:sz="4" w:space="0" w:color="auto"/>
              <w:bottom w:val="single" w:sz="4" w:space="0" w:color="auto"/>
            </w:tcBorders>
          </w:tcPr>
          <w:p w14:paraId="3688D891" w14:textId="0058212A" w:rsidR="003B2EF3" w:rsidRDefault="003B2EF3" w:rsidP="00024485">
            <w:pPr>
              <w:pStyle w:val="Tabletext"/>
            </w:pPr>
            <w:r w:rsidRPr="0038101E">
              <w:rPr>
                <w:bCs/>
              </w:rPr>
              <w:t>Prevalence</w:t>
            </w:r>
            <w:r w:rsidR="00596D38">
              <w:rPr>
                <w:bCs/>
              </w:rPr>
              <w:t xml:space="preserve">: </w:t>
            </w:r>
            <w:r>
              <w:t>Rare</w:t>
            </w:r>
          </w:p>
          <w:p w14:paraId="3AE912E2" w14:textId="77777777" w:rsidR="003B2EF3" w:rsidRPr="00FA4A2E" w:rsidRDefault="003B2EF3" w:rsidP="00024485">
            <w:pPr>
              <w:pStyle w:val="Tabletext"/>
            </w:pPr>
            <w:r w:rsidRPr="009C6707">
              <w:rPr>
                <w:bCs/>
              </w:rPr>
              <w:t>Carrier frequency</w:t>
            </w:r>
            <w:r>
              <w:rPr>
                <w:bCs/>
              </w:rPr>
              <w:br/>
            </w:r>
            <w:r>
              <w:t xml:space="preserve">1:102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top w:val="single" w:sz="4" w:space="0" w:color="auto"/>
              <w:bottom w:val="single" w:sz="4" w:space="0" w:color="auto"/>
            </w:tcBorders>
          </w:tcPr>
          <w:p w14:paraId="1A864AA3" w14:textId="3CF147D4" w:rsidR="003B2EF3" w:rsidRDefault="003B2EF3" w:rsidP="00024485">
            <w:pPr>
              <w:pStyle w:val="Tabletext"/>
            </w:pPr>
            <w:r w:rsidRPr="0025628E">
              <w:t xml:space="preserve">A single </w:t>
            </w:r>
            <w:r>
              <w:t>pathogenic variant</w:t>
            </w:r>
            <w:r w:rsidRPr="00632774">
              <w:t xml:space="preserve"> in </w:t>
            </w:r>
            <w:r w:rsidRPr="00632774">
              <w:rPr>
                <w:rStyle w:val="Emphasis"/>
              </w:rPr>
              <w:t>BLM</w:t>
            </w:r>
            <w:r w:rsidRPr="00632774">
              <w:t xml:space="preserve"> gene</w:t>
            </w:r>
            <w:r w:rsidRPr="0025628E">
              <w:t xml:space="preserve">, known as </w:t>
            </w:r>
            <w:proofErr w:type="spellStart"/>
            <w:r w:rsidRPr="0025628E">
              <w:t>BLMAsh</w:t>
            </w:r>
            <w:proofErr w:type="spellEnd"/>
            <w:r w:rsidRPr="0025628E">
              <w:t xml:space="preserve">, is responsible for over 90% cases of Bloom syndrome </w:t>
            </w:r>
            <w:r>
              <w:t>in the</w:t>
            </w:r>
            <w:r w:rsidRPr="0025628E">
              <w:t xml:space="preserve"> </w:t>
            </w:r>
            <w:r w:rsidR="00666B40">
              <w:t>Ashkenazi Jewish</w:t>
            </w:r>
            <w:r w:rsidR="00F84B1C">
              <w:t xml:space="preserve"> </w:t>
            </w:r>
            <w:r>
              <w:t>population -</w:t>
            </w:r>
            <w:r w:rsidRPr="0025628E">
              <w:t xml:space="preserve"> </w:t>
            </w:r>
            <w:r w:rsidRPr="00D856A5">
              <w:t xml:space="preserve">a 6-bp deletion/7-bp insertion in exon 10 of </w:t>
            </w:r>
            <w:r w:rsidRPr="00D856A5">
              <w:rPr>
                <w:rStyle w:val="Emphasis"/>
              </w:rPr>
              <w:t>BLM</w:t>
            </w:r>
          </w:p>
          <w:p w14:paraId="2CE9FD39" w14:textId="77777777" w:rsidR="003B2EF3" w:rsidRPr="00132ECC" w:rsidRDefault="003B2EF3" w:rsidP="00024485">
            <w:pPr>
              <w:pStyle w:val="Tabletext"/>
            </w:pPr>
            <w:r w:rsidRPr="00D856A5">
              <w:t>c.2207_2212delinsTAGATTC</w:t>
            </w:r>
            <w:r>
              <w:t xml:space="preserve"> </w:t>
            </w:r>
            <w:r>
              <w:fldChar w:fldCharType="begin"/>
            </w:r>
            <w:r>
              <w:instrText xml:space="preserve"> ADDIN EN.CITE &lt;EndNote&gt;&lt;Cite&gt;&lt;Author&gt;Flanagan&lt;/Author&gt;&lt;Year&gt;2019&lt;/Year&gt;&lt;RecNum&gt;51&lt;/RecNum&gt;&lt;DisplayText&gt;(Flanagan &amp;amp; Cunniff, 2019)&lt;/DisplayText&gt;&lt;record&gt;&lt;rec-number&gt;51&lt;/rec-number&gt;&lt;foreign-keys&gt;&lt;key app="EN" db-id="tvd2x2aeprp90te22eox9tvxfe2a0xv0tdfs" timestamp="1623373159"&gt;51&lt;/key&gt;&lt;/foreign-keys&gt;&lt;ref-type name="Web Page"&gt;12&lt;/ref-type&gt;&lt;contributors&gt;&lt;authors&gt;&lt;author&gt;Flanagan, M.&lt;/author&gt;&lt;author&gt;Cunniff, C.M.&lt;/author&gt;&lt;/authors&gt;&lt;secondary-authors&gt;&lt;author&gt;Adam, M.P.&lt;/author&gt;&lt;author&gt;Ardinger, H.H.&lt;/author&gt;&lt;author&gt;Pagon, R.A.&lt;/author&gt;&lt;/secondary-authors&gt;&lt;/contributors&gt;&lt;titles&gt;&lt;title&gt;Bloom Syndrome&lt;/title&gt;&lt;secondary-title&gt;GeneReviews®&lt;/secondary-title&gt;&lt;/titles&gt;&lt;volume&gt;2020&lt;/volume&gt;&lt;number&gt;25th August&lt;/number&gt;&lt;dates&gt;&lt;year&gt;2019&lt;/year&gt;&lt;/dates&gt;&lt;pub-location&gt;Seattle&lt;/pub-location&gt;&lt;publisher&gt;University of Washington&lt;/publisher&gt;&lt;urls&gt;&lt;related-urls&gt;&lt;url&gt;https://www.ncbi.nlm.nih.gov/books/NBK1398/&lt;/url&gt;&lt;/related-urls&gt;&lt;/urls&gt;&lt;/record&gt;&lt;/Cite&gt;&lt;/EndNote&gt;</w:instrText>
            </w:r>
            <w:r>
              <w:fldChar w:fldCharType="separate"/>
            </w:r>
            <w:r>
              <w:rPr>
                <w:noProof/>
              </w:rPr>
              <w:t>(Flanagan &amp; Cunniff, 2019)</w:t>
            </w:r>
            <w:r>
              <w:fldChar w:fldCharType="end"/>
            </w:r>
            <w:r>
              <w:t>.</w:t>
            </w:r>
          </w:p>
        </w:tc>
      </w:tr>
      <w:tr w:rsidR="003B2EF3" w:rsidRPr="00E82F54" w14:paraId="7ED99F38" w14:textId="77777777" w:rsidTr="007C3C21">
        <w:tc>
          <w:tcPr>
            <w:tcW w:w="498" w:type="pct"/>
            <w:tcBorders>
              <w:top w:val="single" w:sz="4" w:space="0" w:color="auto"/>
              <w:bottom w:val="single" w:sz="4" w:space="0" w:color="auto"/>
            </w:tcBorders>
          </w:tcPr>
          <w:p w14:paraId="628824D4" w14:textId="77777777" w:rsidR="003B2EF3" w:rsidRPr="00F503C6" w:rsidRDefault="003B2EF3" w:rsidP="00024485">
            <w:pPr>
              <w:pStyle w:val="Tabletext"/>
            </w:pPr>
            <w:proofErr w:type="spellStart"/>
            <w:r w:rsidRPr="00F503C6">
              <w:t>Mucolipidosis</w:t>
            </w:r>
            <w:proofErr w:type="spellEnd"/>
            <w:r w:rsidRPr="00F503C6">
              <w:t xml:space="preserve"> </w:t>
            </w:r>
            <w:r>
              <w:t>t</w:t>
            </w:r>
            <w:r w:rsidRPr="00F503C6">
              <w:t xml:space="preserve">ype IV </w:t>
            </w:r>
          </w:p>
        </w:tc>
        <w:tc>
          <w:tcPr>
            <w:tcW w:w="822" w:type="pct"/>
            <w:tcBorders>
              <w:top w:val="single" w:sz="4" w:space="0" w:color="auto"/>
              <w:bottom w:val="single" w:sz="4" w:space="0" w:color="auto"/>
            </w:tcBorders>
          </w:tcPr>
          <w:p w14:paraId="1BF9B242" w14:textId="77777777" w:rsidR="003B2EF3" w:rsidRDefault="003B2EF3" w:rsidP="00024485">
            <w:pPr>
              <w:pStyle w:val="Tabletext"/>
            </w:pPr>
            <w:proofErr w:type="spellStart"/>
            <w:r>
              <w:t>M</w:t>
            </w:r>
            <w:r w:rsidRPr="00C0362F">
              <w:t>ucolipidosis</w:t>
            </w:r>
            <w:proofErr w:type="spellEnd"/>
            <w:r w:rsidRPr="00C0362F">
              <w:t xml:space="preserve"> type IV </w:t>
            </w:r>
            <w:r>
              <w:t xml:space="preserve">(95% of cases) is characterised by </w:t>
            </w:r>
            <w:r w:rsidRPr="00C0362F">
              <w:t>severe psychomotor delay</w:t>
            </w:r>
            <w:r>
              <w:t xml:space="preserve"> that </w:t>
            </w:r>
            <w:r w:rsidRPr="00C0362F">
              <w:t>usually becomes apparent during the first year of life</w:t>
            </w:r>
            <w:r>
              <w:t xml:space="preserve">. </w:t>
            </w:r>
            <w:r w:rsidRPr="00C0362F">
              <w:t>Affected individuals have intellectual disability, limited or absent speech, difficulty chewing and swallowing,</w:t>
            </w:r>
            <w:r>
              <w:t xml:space="preserve"> </w:t>
            </w:r>
            <w:r w:rsidRPr="00C0362F">
              <w:t>hypotonia</w:t>
            </w:r>
            <w:r>
              <w:t xml:space="preserve"> </w:t>
            </w:r>
            <w:r w:rsidRPr="00C0362F">
              <w:t>that gradually turns into</w:t>
            </w:r>
            <w:r>
              <w:t xml:space="preserve"> </w:t>
            </w:r>
            <w:r w:rsidRPr="00C0362F">
              <w:t xml:space="preserve">spasticity and </w:t>
            </w:r>
            <w:r>
              <w:t xml:space="preserve">difficulty </w:t>
            </w:r>
            <w:r w:rsidRPr="00C0362F">
              <w:t>controlling hand movements</w:t>
            </w:r>
            <w:r>
              <w:t>. Vision becomes increasingly impaired over time, and b</w:t>
            </w:r>
            <w:r w:rsidRPr="00C0362F">
              <w:t>y early teens, affected individuals have severe vision loss or blindness</w:t>
            </w:r>
            <w:r>
              <w:t xml:space="preserve"> caused by a </w:t>
            </w:r>
            <w:r w:rsidRPr="0036572A">
              <w:lastRenderedPageBreak/>
              <w:t>combination of corneal clouding and retinal degeneration</w:t>
            </w:r>
            <w:r>
              <w:t xml:space="preserve"> </w:t>
            </w:r>
            <w:r>
              <w:fldChar w:fldCharType="begin"/>
            </w:r>
            <w:r>
              <w:instrText xml:space="preserve"> ADDIN EN.CITE &lt;EndNote&gt;&lt;Cite&gt;&lt;Author&gt;NIH&lt;/Author&gt;&lt;Year&gt;2013&lt;/Year&gt;&lt;RecNum&gt;52&lt;/RecNum&gt;&lt;DisplayText&gt;(NIH, 2013b)&lt;/DisplayText&gt;&lt;record&gt;&lt;rec-number&gt;52&lt;/rec-number&gt;&lt;foreign-keys&gt;&lt;key app="EN" db-id="tvd2x2aeprp90te22eox9tvxfe2a0xv0tdfs" timestamp="1623373159"&gt;52&lt;/key&gt;&lt;/foreign-keys&gt;&lt;ref-type name="Web Page"&gt;12&lt;/ref-type&gt;&lt;contributors&gt;&lt;authors&gt;&lt;author&gt;NIH&lt;/author&gt;&lt;/authors&gt;&lt;/contributors&gt;&lt;titles&gt;&lt;title&gt;Mucolipidosis type IV&lt;/title&gt;&lt;secondary-title&gt;Genetics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Medicine&lt;/publisher&gt;&lt;urls&gt;&lt;related-urls&gt;&lt;url&gt;https://ghr.nlm.nih.gov/condition/mucolipidosis-type-iv&lt;/url&gt;&lt;/related-urls&gt;&lt;/urls&gt;&lt;/record&gt;&lt;/Cite&gt;&lt;/EndNote&gt;</w:instrText>
            </w:r>
            <w:r>
              <w:fldChar w:fldCharType="separate"/>
            </w:r>
            <w:r>
              <w:rPr>
                <w:noProof/>
              </w:rPr>
              <w:t>(NIH, 2013b)</w:t>
            </w:r>
            <w:r>
              <w:fldChar w:fldCharType="end"/>
            </w:r>
            <w:r>
              <w:t>.</w:t>
            </w:r>
          </w:p>
          <w:p w14:paraId="55384E44" w14:textId="77777777" w:rsidR="003B2EF3" w:rsidRPr="00FA4A2E" w:rsidRDefault="003B2EF3" w:rsidP="00024485">
            <w:pPr>
              <w:pStyle w:val="Tabletext"/>
            </w:pPr>
            <w:r w:rsidRPr="00C0362F">
              <w:t>About 5</w:t>
            </w:r>
            <w:r>
              <w:t xml:space="preserve">% of cases </w:t>
            </w:r>
            <w:r w:rsidRPr="00C0362F">
              <w:t xml:space="preserve">have atypical </w:t>
            </w:r>
            <w:proofErr w:type="spellStart"/>
            <w:r w:rsidRPr="00C0362F">
              <w:t>mucolipidosis</w:t>
            </w:r>
            <w:proofErr w:type="spellEnd"/>
            <w:r w:rsidRPr="00C0362F">
              <w:t xml:space="preserve"> type IV</w:t>
            </w:r>
            <w:r>
              <w:t xml:space="preserve">, associated with </w:t>
            </w:r>
            <w:r w:rsidRPr="00C0362F">
              <w:t>mild</w:t>
            </w:r>
            <w:r>
              <w:t xml:space="preserve">er symptoms </w:t>
            </w:r>
            <w:r>
              <w:fldChar w:fldCharType="begin"/>
            </w:r>
            <w:r>
              <w:instrText xml:space="preserve"> ADDIN EN.CITE &lt;EndNote&gt;&lt;Cite&gt;&lt;Author&gt;NIH&lt;/Author&gt;&lt;Year&gt;2013&lt;/Year&gt;&lt;RecNum&gt;52&lt;/RecNum&gt;&lt;DisplayText&gt;(NIH, 2013b)&lt;/DisplayText&gt;&lt;record&gt;&lt;rec-number&gt;52&lt;/rec-number&gt;&lt;foreign-keys&gt;&lt;key app="EN" db-id="tvd2x2aeprp90te22eox9tvxfe2a0xv0tdfs" timestamp="1623373159"&gt;52&lt;/key&gt;&lt;/foreign-keys&gt;&lt;ref-type name="Web Page"&gt;12&lt;/ref-type&gt;&lt;contributors&gt;&lt;authors&gt;&lt;author&gt;NIH&lt;/author&gt;&lt;/authors&gt;&lt;/contributors&gt;&lt;titles&gt;&lt;title&gt;Mucolipidosis type IV&lt;/title&gt;&lt;secondary-title&gt;Genetics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Medicine&lt;/publisher&gt;&lt;urls&gt;&lt;related-urls&gt;&lt;url&gt;https://ghr.nlm.nih.gov/condition/mucolipidosis-type-iv&lt;/url&gt;&lt;/related-urls&gt;&lt;/urls&gt;&lt;/record&gt;&lt;/Cite&gt;&lt;/EndNote&gt;</w:instrText>
            </w:r>
            <w:r>
              <w:fldChar w:fldCharType="separate"/>
            </w:r>
            <w:r>
              <w:rPr>
                <w:noProof/>
              </w:rPr>
              <w:t>(NIH, 2013b)</w:t>
            </w:r>
            <w:r>
              <w:fldChar w:fldCharType="end"/>
            </w:r>
            <w:r>
              <w:t>.</w:t>
            </w:r>
          </w:p>
        </w:tc>
        <w:tc>
          <w:tcPr>
            <w:tcW w:w="864" w:type="pct"/>
            <w:tcBorders>
              <w:top w:val="single" w:sz="4" w:space="0" w:color="auto"/>
              <w:bottom w:val="single" w:sz="4" w:space="0" w:color="auto"/>
            </w:tcBorders>
          </w:tcPr>
          <w:p w14:paraId="6C1F5AB2" w14:textId="77777777" w:rsidR="003B2EF3" w:rsidRDefault="003B2EF3" w:rsidP="00024485">
            <w:pPr>
              <w:pStyle w:val="Tabletext"/>
            </w:pPr>
            <w:r w:rsidRPr="004634E2">
              <w:lastRenderedPageBreak/>
              <w:t xml:space="preserve">Autosomal recessive. </w:t>
            </w:r>
            <w:r w:rsidRPr="00191633">
              <w:t>Carriers typically do not show signs or symptoms</w:t>
            </w:r>
            <w:r>
              <w:t>.</w:t>
            </w:r>
          </w:p>
          <w:p w14:paraId="09E75042" w14:textId="72D2E19D" w:rsidR="003B2EF3" w:rsidRDefault="003B2EF3" w:rsidP="00024485">
            <w:pPr>
              <w:pStyle w:val="Tabletext"/>
            </w:pPr>
            <w:proofErr w:type="spellStart"/>
            <w:r w:rsidRPr="00191633">
              <w:t>Mucolipidosis</w:t>
            </w:r>
            <w:proofErr w:type="spellEnd"/>
            <w:r w:rsidRPr="00191633">
              <w:t xml:space="preserve"> </w:t>
            </w:r>
            <w:r>
              <w:t>t</w:t>
            </w:r>
            <w:r w:rsidRPr="00191633">
              <w:t>ype IV</w:t>
            </w:r>
            <w:r>
              <w:t xml:space="preserve"> is caused by m</w:t>
            </w:r>
            <w:r w:rsidRPr="00191633">
              <w:t xml:space="preserve">utations in the </w:t>
            </w:r>
            <w:r w:rsidRPr="00191633">
              <w:rPr>
                <w:i/>
                <w:iCs/>
              </w:rPr>
              <w:t>MCOLN1</w:t>
            </w:r>
            <w:r w:rsidRPr="00191633">
              <w:t xml:space="preserve"> gene</w:t>
            </w:r>
            <w:r>
              <w:t>, coding for</w:t>
            </w:r>
            <w:r w:rsidRPr="00191633">
              <w:t xml:space="preserve"> </w:t>
            </w:r>
            <w:r>
              <w:t>the</w:t>
            </w:r>
            <w:r w:rsidRPr="00191633">
              <w:t xml:space="preserve"> protein mucolipin-1</w:t>
            </w:r>
            <w:r>
              <w:t xml:space="preserve">, which </w:t>
            </w:r>
            <w:proofErr w:type="gramStart"/>
            <w:r>
              <w:t xml:space="preserve">is </w:t>
            </w:r>
            <w:r w:rsidRPr="00191633">
              <w:t>located in</w:t>
            </w:r>
            <w:proofErr w:type="gramEnd"/>
            <w:r w:rsidRPr="00191633">
              <w:t xml:space="preserve"> the membranes of lysosomes and endosomes</w:t>
            </w:r>
            <w:r>
              <w:t xml:space="preserve">. The role of </w:t>
            </w:r>
            <w:r w:rsidRPr="00191633">
              <w:t>mucolipin-1</w:t>
            </w:r>
            <w:r>
              <w:t xml:space="preserve"> </w:t>
            </w:r>
            <w:r w:rsidRPr="00191633">
              <w:t xml:space="preserve">is not </w:t>
            </w:r>
            <w:r>
              <w:t xml:space="preserve">fully </w:t>
            </w:r>
            <w:r w:rsidRPr="00191633">
              <w:t>understood</w:t>
            </w:r>
            <w:r>
              <w:t xml:space="preserve">; however, a </w:t>
            </w:r>
            <w:r w:rsidRPr="00191633">
              <w:t xml:space="preserve">lack of functional mucolipin-1 impairs </w:t>
            </w:r>
            <w:r>
              <w:t xml:space="preserve">the </w:t>
            </w:r>
            <w:r w:rsidRPr="00191633">
              <w:t xml:space="preserve">transport of lipids and proteins, causing </w:t>
            </w:r>
            <w:r>
              <w:t>a</w:t>
            </w:r>
            <w:r w:rsidRPr="00191633">
              <w:t xml:space="preserve"> build up inside lysosomes</w:t>
            </w:r>
            <w:r>
              <w:t xml:space="preserve">. </w:t>
            </w:r>
            <w:r w:rsidRPr="00191633">
              <w:t xml:space="preserve">Most </w:t>
            </w:r>
            <w:r>
              <w:t>variants of</w:t>
            </w:r>
            <w:r w:rsidRPr="00191633">
              <w:t xml:space="preserve"> the </w:t>
            </w:r>
            <w:r w:rsidRPr="00191633">
              <w:rPr>
                <w:rStyle w:val="Emphasis"/>
              </w:rPr>
              <w:t>MCOLN1</w:t>
            </w:r>
            <w:r w:rsidRPr="00191633">
              <w:t xml:space="preserve"> gene result in the production of a non</w:t>
            </w:r>
            <w:r>
              <w:t>-</w:t>
            </w:r>
            <w:r w:rsidRPr="00191633">
              <w:lastRenderedPageBreak/>
              <w:t>functional protein or prevent protein produc</w:t>
            </w:r>
            <w:r>
              <w:t xml:space="preserve">tion </w:t>
            </w:r>
            <w:r>
              <w:fldChar w:fldCharType="begin"/>
            </w:r>
            <w:r>
              <w:instrText xml:space="preserve"> ADDIN EN.CITE &lt;EndNote&gt;&lt;Cite&gt;&lt;Author&gt;NIH&lt;/Author&gt;&lt;Year&gt;2013&lt;/Year&gt;&lt;RecNum&gt;52&lt;/RecNum&gt;&lt;DisplayText&gt;(NIH, 2013b)&lt;/DisplayText&gt;&lt;record&gt;&lt;rec-number&gt;52&lt;/rec-number&gt;&lt;foreign-keys&gt;&lt;key app="EN" db-id="tvd2x2aeprp90te22eox9tvxfe2a0xv0tdfs" timestamp="1623373159"&gt;52&lt;/key&gt;&lt;/foreign-keys&gt;&lt;ref-type name="Web Page"&gt;12&lt;/ref-type&gt;&lt;contributors&gt;&lt;authors&gt;&lt;author&gt;NIH&lt;/author&gt;&lt;/authors&gt;&lt;/contributors&gt;&lt;titles&gt;&lt;title&gt;Mucolipidosis type IV&lt;/title&gt;&lt;secondary-title&gt;Genetics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Medicine&lt;/publisher&gt;&lt;urls&gt;&lt;related-urls&gt;&lt;url&gt;https://ghr.nlm.nih.gov/condition/mucolipidosis-type-iv&lt;/url&gt;&lt;/related-urls&gt;&lt;/urls&gt;&lt;/record&gt;&lt;/Cite&gt;&lt;/EndNote&gt;</w:instrText>
            </w:r>
            <w:r>
              <w:fldChar w:fldCharType="separate"/>
            </w:r>
            <w:r>
              <w:rPr>
                <w:noProof/>
              </w:rPr>
              <w:t>(NIH, 2013b)</w:t>
            </w:r>
            <w:r>
              <w:fldChar w:fldCharType="end"/>
            </w:r>
            <w:r>
              <w:t>.</w:t>
            </w:r>
          </w:p>
          <w:p w14:paraId="09FEB58B" w14:textId="77777777" w:rsidR="003B2EF3" w:rsidRPr="00FA4A2E" w:rsidRDefault="003B2EF3" w:rsidP="00024485">
            <w:pPr>
              <w:pStyle w:val="Tabletext"/>
            </w:pPr>
            <w:r w:rsidRPr="00191633">
              <w:t xml:space="preserve">Mucolipin-1 </w:t>
            </w:r>
            <w:r>
              <w:t xml:space="preserve">is </w:t>
            </w:r>
            <w:r w:rsidRPr="00191633">
              <w:t>important for the development and maintenance of the brain and retina. In addition, this protein is likely critical for normal functioning of the cells in the stomach that produce digestive acids</w:t>
            </w:r>
            <w:r>
              <w:t xml:space="preserve"> </w:t>
            </w:r>
            <w:r>
              <w:fldChar w:fldCharType="begin"/>
            </w:r>
            <w:r>
              <w:instrText xml:space="preserve"> ADDIN EN.CITE &lt;EndNote&gt;&lt;Cite&gt;&lt;Author&gt;NIH&lt;/Author&gt;&lt;Year&gt;2013&lt;/Year&gt;&lt;RecNum&gt;52&lt;/RecNum&gt;&lt;DisplayText&gt;(NIH, 2013b)&lt;/DisplayText&gt;&lt;record&gt;&lt;rec-number&gt;52&lt;/rec-number&gt;&lt;foreign-keys&gt;&lt;key app="EN" db-id="tvd2x2aeprp90te22eox9tvxfe2a0xv0tdfs" timestamp="1623373159"&gt;52&lt;/key&gt;&lt;/foreign-keys&gt;&lt;ref-type name="Web Page"&gt;12&lt;/ref-type&gt;&lt;contributors&gt;&lt;authors&gt;&lt;author&gt;NIH&lt;/author&gt;&lt;/authors&gt;&lt;/contributors&gt;&lt;titles&gt;&lt;title&gt;Mucolipidosis type IV&lt;/title&gt;&lt;secondary-title&gt;Genetics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Medicine&lt;/publisher&gt;&lt;urls&gt;&lt;related-urls&gt;&lt;url&gt;https://ghr.nlm.nih.gov/condition/mucolipidosis-type-iv&lt;/url&gt;&lt;/related-urls&gt;&lt;/urls&gt;&lt;/record&gt;&lt;/Cite&gt;&lt;/EndNote&gt;</w:instrText>
            </w:r>
            <w:r>
              <w:fldChar w:fldCharType="separate"/>
            </w:r>
            <w:r>
              <w:rPr>
                <w:noProof/>
              </w:rPr>
              <w:t>(NIH, 2013b)</w:t>
            </w:r>
            <w:r>
              <w:fldChar w:fldCharType="end"/>
            </w:r>
            <w:r>
              <w:t>.</w:t>
            </w:r>
          </w:p>
        </w:tc>
        <w:tc>
          <w:tcPr>
            <w:tcW w:w="1016" w:type="pct"/>
            <w:tcBorders>
              <w:top w:val="single" w:sz="4" w:space="0" w:color="auto"/>
              <w:bottom w:val="single" w:sz="4" w:space="0" w:color="auto"/>
            </w:tcBorders>
          </w:tcPr>
          <w:p w14:paraId="0B874681" w14:textId="77777777" w:rsidR="003B2EF3" w:rsidRPr="004178F5" w:rsidRDefault="003B2EF3" w:rsidP="00024485">
            <w:pPr>
              <w:pStyle w:val="Tabletext"/>
            </w:pPr>
            <w:r w:rsidRPr="004178F5">
              <w:lastRenderedPageBreak/>
              <w:t xml:space="preserve">Evaluations </w:t>
            </w:r>
            <w:r>
              <w:t>f</w:t>
            </w:r>
            <w:r w:rsidRPr="004178F5">
              <w:t xml:space="preserve">ollowing </w:t>
            </w:r>
            <w:r>
              <w:t>d</w:t>
            </w:r>
            <w:r w:rsidRPr="004178F5">
              <w:t>iagnosis</w:t>
            </w:r>
            <w:r>
              <w:t>:</w:t>
            </w:r>
          </w:p>
          <w:p w14:paraId="5FA86E65" w14:textId="77777777" w:rsidR="003B2EF3" w:rsidRPr="004178F5" w:rsidRDefault="003B2EF3" w:rsidP="00024485">
            <w:pPr>
              <w:pStyle w:val="Tabletext"/>
            </w:pPr>
            <w:r w:rsidRPr="004178F5">
              <w:t>Ophthalmic examination</w:t>
            </w:r>
          </w:p>
          <w:p w14:paraId="5BA006FC" w14:textId="77777777" w:rsidR="003B2EF3" w:rsidRPr="004178F5" w:rsidRDefault="003B2EF3" w:rsidP="00024485">
            <w:pPr>
              <w:pStyle w:val="Tabletext"/>
            </w:pPr>
            <w:r w:rsidRPr="004178F5">
              <w:t>Brain MRI</w:t>
            </w:r>
          </w:p>
          <w:p w14:paraId="2538D9C6" w14:textId="77777777" w:rsidR="003B2EF3" w:rsidRPr="004178F5" w:rsidRDefault="003B2EF3" w:rsidP="00024485">
            <w:pPr>
              <w:pStyle w:val="Tabletext"/>
            </w:pPr>
            <w:r w:rsidRPr="004178F5">
              <w:t>Iron studies</w:t>
            </w:r>
          </w:p>
          <w:p w14:paraId="11074DCF" w14:textId="77777777" w:rsidR="003B2EF3" w:rsidRPr="004178F5" w:rsidRDefault="003B2EF3" w:rsidP="00024485">
            <w:pPr>
              <w:pStyle w:val="Tabletext"/>
            </w:pPr>
            <w:r w:rsidRPr="004178F5">
              <w:t>Neurologic evaluation, including EEG</w:t>
            </w:r>
          </w:p>
          <w:p w14:paraId="6040BF9C" w14:textId="77777777" w:rsidR="003B2EF3" w:rsidRPr="004178F5" w:rsidRDefault="003B2EF3" w:rsidP="00024485">
            <w:pPr>
              <w:pStyle w:val="Tabletext"/>
            </w:pPr>
            <w:r w:rsidRPr="004178F5">
              <w:t>Consultation with a clinical geneticist and/or genetic counsellor</w:t>
            </w:r>
          </w:p>
          <w:p w14:paraId="2F03B377" w14:textId="77777777" w:rsidR="003B2EF3" w:rsidRPr="004178F5" w:rsidRDefault="003B2EF3" w:rsidP="00024485">
            <w:pPr>
              <w:pStyle w:val="Tabletext"/>
            </w:pPr>
            <w:r w:rsidRPr="004178F5">
              <w:t>Treatment</w:t>
            </w:r>
            <w:r>
              <w:t>:</w:t>
            </w:r>
          </w:p>
          <w:p w14:paraId="3C08B65F" w14:textId="77777777" w:rsidR="003B2EF3" w:rsidRPr="004178F5" w:rsidRDefault="003B2EF3" w:rsidP="00024485">
            <w:pPr>
              <w:pStyle w:val="Tabletext"/>
            </w:pPr>
            <w:r w:rsidRPr="004178F5">
              <w:t>Speech therapy</w:t>
            </w:r>
          </w:p>
          <w:p w14:paraId="354921B2" w14:textId="77777777" w:rsidR="003B2EF3" w:rsidRPr="004178F5" w:rsidRDefault="003B2EF3" w:rsidP="00024485">
            <w:pPr>
              <w:pStyle w:val="Tabletext"/>
            </w:pPr>
            <w:r w:rsidRPr="004178F5">
              <w:t xml:space="preserve">Physical therapy </w:t>
            </w:r>
            <w:r>
              <w:t xml:space="preserve">&amp; </w:t>
            </w:r>
            <w:r w:rsidRPr="004178F5">
              <w:t>rehabilitation for motor dysfunction (spasticity and ataxia)</w:t>
            </w:r>
          </w:p>
          <w:p w14:paraId="519E7292" w14:textId="77777777" w:rsidR="003B2EF3" w:rsidRPr="004178F5" w:rsidRDefault="003B2EF3" w:rsidP="00024485">
            <w:pPr>
              <w:pStyle w:val="Tabletext"/>
            </w:pPr>
            <w:r w:rsidRPr="004178F5">
              <w:t>Ankle-foot orthotics in individuals with hypotonia and weakness of ankle dorsiflexion</w:t>
            </w:r>
          </w:p>
          <w:p w14:paraId="469E1AC3" w14:textId="77777777" w:rsidR="003B2EF3" w:rsidRPr="004178F5" w:rsidRDefault="003B2EF3" w:rsidP="00024485">
            <w:pPr>
              <w:pStyle w:val="Tabletext"/>
            </w:pPr>
            <w:r w:rsidRPr="004178F5">
              <w:lastRenderedPageBreak/>
              <w:t>Antiepileptic drugs</w:t>
            </w:r>
          </w:p>
          <w:p w14:paraId="3A758EDF" w14:textId="77777777" w:rsidR="003B2EF3" w:rsidRPr="004178F5" w:rsidRDefault="003B2EF3" w:rsidP="00024485">
            <w:pPr>
              <w:pStyle w:val="Tabletext"/>
            </w:pPr>
            <w:r w:rsidRPr="004178F5">
              <w:t>Topical lubricating eye drops, artificial tears, gels, or ointments for management of the intermittent ocular irritation seen frequently in younger children</w:t>
            </w:r>
          </w:p>
          <w:p w14:paraId="4AF6C74B" w14:textId="77777777" w:rsidR="003B2EF3" w:rsidRPr="004178F5" w:rsidRDefault="003B2EF3" w:rsidP="00024485">
            <w:pPr>
              <w:pStyle w:val="Tabletext"/>
            </w:pPr>
            <w:r w:rsidRPr="004178F5">
              <w:t>Surgical correction of strabismus</w:t>
            </w:r>
            <w:r>
              <w:t xml:space="preserve"> </w:t>
            </w:r>
            <w:r>
              <w:fldChar w:fldCharType="begin"/>
            </w:r>
            <w:r>
              <w:instrText xml:space="preserve"> ADDIN EN.CITE &lt;EndNote&gt;&lt;Cite&gt;&lt;Author&gt;Schiffmann&lt;/Author&gt;&lt;Year&gt;2015&lt;/Year&gt;&lt;RecNum&gt;53&lt;/RecNum&gt;&lt;DisplayText&gt;(Schiffmann, Grishchuk, &amp;amp; Goldin, 2015)&lt;/DisplayText&gt;&lt;record&gt;&lt;rec-number&gt;53&lt;/rec-number&gt;&lt;foreign-keys&gt;&lt;key app="EN" db-id="tvd2x2aeprp90te22eox9tvxfe2a0xv0tdfs" timestamp="1623373159"&gt;53&lt;/key&gt;&lt;/foreign-keys&gt;&lt;ref-type name="Web Page"&gt;12&lt;/ref-type&gt;&lt;contributors&gt;&lt;authors&gt;&lt;author&gt;Schiffmann, R.&lt;/author&gt;&lt;author&gt;Grishchuk, Y.&lt;/author&gt;&lt;author&gt;Goldin, E.&lt;/author&gt;&lt;/authors&gt;&lt;secondary-authors&gt;&lt;author&gt;Adam, M.P.&lt;/author&gt;&lt;author&gt;Ardinger, H.H.&lt;/author&gt;&lt;author&gt;Pagon, R.A.&lt;/author&gt;&lt;/secondary-authors&gt;&lt;/contributors&gt;&lt;titles&gt;&lt;title&gt;Mucolipidosis IV&lt;/title&gt;&lt;secondary-title&gt;GeneReviews®&lt;/secondary-title&gt;&lt;/titles&gt;&lt;volume&gt;2020&lt;/volume&gt;&lt;number&gt;24th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Washington&lt;/publisher&gt;&lt;urls&gt;&lt;related-urls&gt;&lt;url&gt;https://www.ncbi.nlm.nih.gov/books/NBK1214/&lt;/url&gt;&lt;/related-urls&gt;&lt;/urls&gt;&lt;/record&gt;&lt;/Cite&gt;&lt;/EndNote&gt;</w:instrText>
            </w:r>
            <w:r>
              <w:fldChar w:fldCharType="separate"/>
            </w:r>
            <w:r>
              <w:rPr>
                <w:noProof/>
              </w:rPr>
              <w:t>(Schiffmann, Grishchuk, &amp; Goldin, 2015)</w:t>
            </w:r>
            <w:r>
              <w:fldChar w:fldCharType="end"/>
            </w:r>
          </w:p>
        </w:tc>
        <w:tc>
          <w:tcPr>
            <w:tcW w:w="674" w:type="pct"/>
            <w:tcBorders>
              <w:top w:val="single" w:sz="4" w:space="0" w:color="auto"/>
              <w:bottom w:val="single" w:sz="4" w:space="0" w:color="auto"/>
            </w:tcBorders>
          </w:tcPr>
          <w:p w14:paraId="7848709E" w14:textId="77777777" w:rsidR="003B2EF3" w:rsidRDefault="003B2EF3" w:rsidP="00024485">
            <w:pPr>
              <w:pStyle w:val="Tabletext"/>
            </w:pPr>
            <w:r w:rsidRPr="0025628E">
              <w:rPr>
                <w:bCs/>
              </w:rPr>
              <w:lastRenderedPageBreak/>
              <w:t>Prevalence</w:t>
            </w:r>
            <w:r>
              <w:br/>
            </w:r>
            <w:r w:rsidRPr="00C0362F">
              <w:t>1 in 40,000</w:t>
            </w:r>
            <w:r>
              <w:t xml:space="preserve"> </w:t>
            </w:r>
            <w:r>
              <w:fldChar w:fldCharType="begin"/>
            </w:r>
            <w:r>
              <w:instrText xml:space="preserve"> ADDIN EN.CITE &lt;EndNote&gt;&lt;Cite&gt;&lt;Author&gt;NIH&lt;/Author&gt;&lt;Year&gt;2013&lt;/Year&gt;&lt;RecNum&gt;52&lt;/RecNum&gt;&lt;DisplayText&gt;(NIH, 2013b)&lt;/DisplayText&gt;&lt;record&gt;&lt;rec-number&gt;52&lt;/rec-number&gt;&lt;foreign-keys&gt;&lt;key app="EN" db-id="tvd2x2aeprp90te22eox9tvxfe2a0xv0tdfs" timestamp="1623373159"&gt;52&lt;/key&gt;&lt;/foreign-keys&gt;&lt;ref-type name="Web Page"&gt;12&lt;/ref-type&gt;&lt;contributors&gt;&lt;authors&gt;&lt;author&gt;NIH&lt;/author&gt;&lt;/authors&gt;&lt;/contributors&gt;&lt;titles&gt;&lt;title&gt;Mucolipidosis type IV&lt;/title&gt;&lt;secondary-title&gt;Genetics Home Reference&lt;/secondary-title&gt;&lt;/titles&gt;&lt;volume&gt;2020&lt;/volume&gt;&lt;number&gt;18th August&lt;/number&gt;&lt;dates&gt;&lt;year&gt;2013&lt;/year&gt;&lt;/dates&gt;&lt;pub-location&gt;Bethesda, Maryland, USA&lt;/pub-location&gt;&lt;publisher&gt;U.S. National Institutes of Health and National Library of Medicine&lt;/publisher&gt;&lt;urls&gt;&lt;related-urls&gt;&lt;url&gt;https://ghr.nlm.nih.gov/condition/mucolipidosis-type-iv&lt;/url&gt;&lt;/related-urls&gt;&lt;/urls&gt;&lt;/record&gt;&lt;/Cite&gt;&lt;/EndNote&gt;</w:instrText>
            </w:r>
            <w:r>
              <w:fldChar w:fldCharType="separate"/>
            </w:r>
            <w:r>
              <w:rPr>
                <w:noProof/>
              </w:rPr>
              <w:t>(NIH, 2013b)</w:t>
            </w:r>
            <w:r>
              <w:fldChar w:fldCharType="end"/>
            </w:r>
          </w:p>
          <w:p w14:paraId="0E155E94" w14:textId="77777777" w:rsidR="003B2EF3" w:rsidRDefault="003B2EF3" w:rsidP="00024485">
            <w:pPr>
              <w:pStyle w:val="Tabletext"/>
            </w:pPr>
            <w:r w:rsidRPr="009C6707">
              <w:rPr>
                <w:bCs/>
              </w:rPr>
              <w:t>Carrier frequency</w:t>
            </w:r>
            <w:r>
              <w:rPr>
                <w:bCs/>
              </w:rPr>
              <w:br/>
            </w:r>
            <w:r>
              <w:t xml:space="preserve">1:100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p w14:paraId="64DA0CEF" w14:textId="6D8E84CF" w:rsidR="003B2EF3" w:rsidRPr="00FA4A2E" w:rsidRDefault="003B2EF3" w:rsidP="00024485">
            <w:pPr>
              <w:pStyle w:val="Tabletext"/>
            </w:pPr>
            <w:r>
              <w:t>Most affected individuals are non-</w:t>
            </w:r>
            <w:r w:rsidR="00596D38">
              <w:t xml:space="preserve">Ashkenazi Jews </w:t>
            </w:r>
            <w:r>
              <w:fldChar w:fldCharType="begin"/>
            </w:r>
            <w:r>
              <w:instrText xml:space="preserve"> ADDIN EN.CITE &lt;EndNote&gt;&lt;Cite&gt;&lt;Author&gt;Schiffmann&lt;/Author&gt;&lt;Year&gt;2015&lt;/Year&gt;&lt;RecNum&gt;53&lt;/RecNum&gt;&lt;DisplayText&gt;(Schiffmann et al., 2015)&lt;/DisplayText&gt;&lt;record&gt;&lt;rec-number&gt;53&lt;/rec-number&gt;&lt;foreign-keys&gt;&lt;key app="EN" db-id="tvd2x2aeprp90te22eox9tvxfe2a0xv0tdfs" timestamp="1623373159"&gt;53&lt;/key&gt;&lt;/foreign-keys&gt;&lt;ref-type name="Web Page"&gt;12&lt;/ref-type&gt;&lt;contributors&gt;&lt;authors&gt;&lt;author&gt;Schiffmann, R.&lt;/author&gt;&lt;author&gt;Grishchuk, Y.&lt;/author&gt;&lt;author&gt;Goldin, E.&lt;/author&gt;&lt;/authors&gt;&lt;secondary-authors&gt;&lt;author&gt;Adam, M.P.&lt;/author&gt;&lt;author&gt;Ardinger, H.H.&lt;/author&gt;&lt;author&gt;Pagon, R.A.&lt;/author&gt;&lt;/secondary-authors&gt;&lt;/contributors&gt;&lt;titles&gt;&lt;title&gt;Mucolipidosis IV&lt;/title&gt;&lt;secondary-title&gt;GeneReviews®&lt;/secondary-title&gt;&lt;/titles&gt;&lt;volume&gt;2020&lt;/volume&gt;&lt;number&gt;24th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Washington&lt;/publisher&gt;&lt;urls&gt;&lt;related-urls&gt;&lt;url&gt;https://www.ncbi.nlm.nih.gov/books/NBK1214/&lt;/url&gt;&lt;/related-urls&gt;&lt;/urls&gt;&lt;/record&gt;&lt;/Cite&gt;&lt;/EndNote&gt;</w:instrText>
            </w:r>
            <w:r>
              <w:fldChar w:fldCharType="separate"/>
            </w:r>
            <w:r>
              <w:rPr>
                <w:noProof/>
              </w:rPr>
              <w:t>(Schiffmann et al., 2015)</w:t>
            </w:r>
            <w:r>
              <w:fldChar w:fldCharType="end"/>
            </w:r>
          </w:p>
        </w:tc>
        <w:tc>
          <w:tcPr>
            <w:tcW w:w="1126" w:type="pct"/>
            <w:tcBorders>
              <w:top w:val="single" w:sz="4" w:space="0" w:color="auto"/>
              <w:bottom w:val="single" w:sz="4" w:space="0" w:color="auto"/>
            </w:tcBorders>
          </w:tcPr>
          <w:p w14:paraId="1C2F1D5E" w14:textId="7F1C3140" w:rsidR="003B2EF3" w:rsidRDefault="003B2EF3" w:rsidP="00024485">
            <w:pPr>
              <w:pStyle w:val="Tabletext"/>
            </w:pPr>
            <w:r>
              <w:t>2</w:t>
            </w:r>
            <w:r w:rsidRPr="00191633">
              <w:t xml:space="preserve"> </w:t>
            </w:r>
            <w:r>
              <w:t>pathogenic variants</w:t>
            </w:r>
            <w:r w:rsidRPr="00191633">
              <w:t xml:space="preserve"> in the </w:t>
            </w:r>
            <w:r w:rsidRPr="0036572A">
              <w:rPr>
                <w:i/>
                <w:iCs/>
              </w:rPr>
              <w:t>MCOLN1</w:t>
            </w:r>
            <w:r w:rsidRPr="00191633">
              <w:t xml:space="preserve"> gene account for </w:t>
            </w:r>
            <w:r>
              <w:t>95% of all</w:t>
            </w:r>
            <w:r w:rsidRPr="00191633">
              <w:t xml:space="preserve"> cases of </w:t>
            </w:r>
            <w:proofErr w:type="spellStart"/>
            <w:r w:rsidRPr="00191633">
              <w:t>mucolipidosis</w:t>
            </w:r>
            <w:proofErr w:type="spellEnd"/>
            <w:r w:rsidRPr="00191633">
              <w:t xml:space="preserve"> type IV in </w:t>
            </w:r>
            <w:r>
              <w:t xml:space="preserve">the </w:t>
            </w:r>
            <w:r w:rsidR="00596D38">
              <w:t xml:space="preserve">Ashkenazi Jewish </w:t>
            </w:r>
            <w:r>
              <w:t>population</w:t>
            </w:r>
          </w:p>
          <w:p w14:paraId="5686723E" w14:textId="77777777" w:rsidR="003B2EF3" w:rsidRPr="00132ECC" w:rsidRDefault="003B2EF3" w:rsidP="00024485">
            <w:pPr>
              <w:pStyle w:val="Tabletext"/>
            </w:pPr>
            <w:r w:rsidRPr="00D234D6">
              <w:t xml:space="preserve">The splice pathogenic variant </w:t>
            </w:r>
            <w:r>
              <w:br/>
            </w:r>
            <w:r w:rsidRPr="00D234D6">
              <w:rPr>
                <w:bCs/>
              </w:rPr>
              <w:t>c.406-2A&gt;G</w:t>
            </w:r>
            <w:r w:rsidRPr="006C0FBB">
              <w:t xml:space="preserve"> </w:t>
            </w:r>
            <w:r>
              <w:br/>
              <w:t xml:space="preserve">is 3x </w:t>
            </w:r>
            <w:r w:rsidRPr="00D234D6">
              <w:t>more common</w:t>
            </w:r>
            <w:r>
              <w:t xml:space="preserve"> than the </w:t>
            </w:r>
            <w:r w:rsidRPr="00D234D6">
              <w:t xml:space="preserve">deletion pathogenic variant </w:t>
            </w:r>
            <w:r>
              <w:br/>
            </w:r>
            <w:r w:rsidRPr="00D234D6">
              <w:rPr>
                <w:bCs/>
              </w:rPr>
              <w:t>6.4 kb del</w:t>
            </w:r>
            <w:r>
              <w:t xml:space="preserve">, </w:t>
            </w:r>
            <w:r w:rsidRPr="006C0FBB">
              <w:t xml:space="preserve">also known as </w:t>
            </w:r>
            <w:r w:rsidRPr="00D234D6">
              <w:rPr>
                <w:bCs/>
              </w:rPr>
              <w:t>g.511_6943del</w:t>
            </w:r>
            <w:r>
              <w:rPr>
                <w:bCs/>
              </w:rPr>
              <w:t>.</w:t>
            </w:r>
            <w:r>
              <w:fldChar w:fldCharType="begin"/>
            </w:r>
            <w:r>
              <w:instrText xml:space="preserve"> ADDIN EN.CITE &lt;EndNote&gt;&lt;Cite&gt;&lt;Author&gt;Schiffmann&lt;/Author&gt;&lt;Year&gt;2015&lt;/Year&gt;&lt;RecNum&gt;53&lt;/RecNum&gt;&lt;DisplayText&gt;(Schiffmann et al., 2015)&lt;/DisplayText&gt;&lt;record&gt;&lt;rec-number&gt;53&lt;/rec-number&gt;&lt;foreign-keys&gt;&lt;key app="EN" db-id="tvd2x2aeprp90te22eox9tvxfe2a0xv0tdfs" timestamp="1623373159"&gt;53&lt;/key&gt;&lt;/foreign-keys&gt;&lt;ref-type name="Web Page"&gt;12&lt;/ref-type&gt;&lt;contributors&gt;&lt;authors&gt;&lt;author&gt;Schiffmann, R.&lt;/author&gt;&lt;author&gt;Grishchuk, Y.&lt;/author&gt;&lt;author&gt;Goldin, E.&lt;/author&gt;&lt;/authors&gt;&lt;secondary-authors&gt;&lt;author&gt;Adam, M.P.&lt;/author&gt;&lt;author&gt;Ardinger, H.H.&lt;/author&gt;&lt;author&gt;Pagon, R.A.&lt;/author&gt;&lt;/secondary-authors&gt;&lt;/contributors&gt;&lt;titles&gt;&lt;title&gt;Mucolipidosis IV&lt;/title&gt;&lt;secondary-title&gt;GeneReviews®&lt;/secondary-title&gt;&lt;/titles&gt;&lt;volume&gt;2020&lt;/volume&gt;&lt;number&gt;24th August&lt;/number&gt;&lt;dates&gt;&lt;year&gt;2015&lt;/year&gt;&lt;/dates&gt;&lt;pub-location&gt;Seattle&lt;/pub-location&gt;&lt;publisher&gt;University of Washington&lt;/publisher&gt;&lt;urls&gt;&lt;related-urls&gt;&lt;url&gt;https://www.ncbi.nlm.nih.gov/books/NBK1214/&lt;/url&gt;&lt;/related-urls&gt;&lt;/urls&gt;&lt;/record&gt;&lt;/Cite&gt;&lt;/EndNote&gt;</w:instrText>
            </w:r>
            <w:r>
              <w:fldChar w:fldCharType="separate"/>
            </w:r>
            <w:r>
              <w:rPr>
                <w:noProof/>
              </w:rPr>
              <w:t>(</w:t>
            </w:r>
            <w:proofErr w:type="spellStart"/>
            <w:r>
              <w:rPr>
                <w:noProof/>
              </w:rPr>
              <w:t>Schiffmann</w:t>
            </w:r>
            <w:proofErr w:type="spellEnd"/>
            <w:r>
              <w:rPr>
                <w:noProof/>
              </w:rPr>
              <w:t xml:space="preserve"> et al., 2015)</w:t>
            </w:r>
            <w:r>
              <w:fldChar w:fldCharType="end"/>
            </w:r>
          </w:p>
        </w:tc>
      </w:tr>
      <w:tr w:rsidR="003B2EF3" w:rsidRPr="00E82F54" w14:paraId="7CDEC575" w14:textId="77777777" w:rsidTr="007C3C21">
        <w:tc>
          <w:tcPr>
            <w:tcW w:w="498" w:type="pct"/>
            <w:tcBorders>
              <w:top w:val="single" w:sz="4" w:space="0" w:color="auto"/>
              <w:bottom w:val="single" w:sz="4" w:space="0" w:color="auto"/>
            </w:tcBorders>
          </w:tcPr>
          <w:p w14:paraId="7DBE1A5B" w14:textId="2602F6A4" w:rsidR="003B2EF3" w:rsidRPr="00F503C6" w:rsidRDefault="003B2EF3" w:rsidP="00024485">
            <w:pPr>
              <w:pStyle w:val="Tabletext"/>
            </w:pPr>
            <w:bookmarkStart w:id="15" w:name="_Hlk76561010"/>
            <w:r w:rsidRPr="00F503C6">
              <w:t xml:space="preserve">Glycogen storage </w:t>
            </w:r>
            <w:r w:rsidR="00CB075C">
              <w:t xml:space="preserve">disease </w:t>
            </w:r>
            <w:r w:rsidRPr="00F503C6">
              <w:t xml:space="preserve">type 1 </w:t>
            </w:r>
            <w:r>
              <w:t>(GSD1)</w:t>
            </w:r>
            <w:bookmarkEnd w:id="15"/>
          </w:p>
        </w:tc>
        <w:tc>
          <w:tcPr>
            <w:tcW w:w="822" w:type="pct"/>
            <w:tcBorders>
              <w:top w:val="single" w:sz="4" w:space="0" w:color="auto"/>
              <w:bottom w:val="single" w:sz="4" w:space="0" w:color="auto"/>
            </w:tcBorders>
          </w:tcPr>
          <w:p w14:paraId="01060E5F" w14:textId="77777777" w:rsidR="003B2EF3" w:rsidRPr="00FA4A2E" w:rsidRDefault="003B2EF3" w:rsidP="00024485">
            <w:pPr>
              <w:pStyle w:val="Tabletext"/>
            </w:pPr>
            <w:r>
              <w:t>GSD1</w:t>
            </w:r>
            <w:r w:rsidRPr="00BF1993">
              <w:t xml:space="preserve"> is characteri</w:t>
            </w:r>
            <w:r>
              <w:t>s</w:t>
            </w:r>
            <w:r w:rsidRPr="00BF1993">
              <w:t xml:space="preserve">ed by </w:t>
            </w:r>
            <w:r>
              <w:t xml:space="preserve">the </w:t>
            </w:r>
            <w:r w:rsidRPr="00BF1993">
              <w:t xml:space="preserve">accumulation of glycogen and fat in the liver and kidneys, resulting in hepatomegaly and </w:t>
            </w:r>
            <w:proofErr w:type="spellStart"/>
            <w:r w:rsidRPr="00BF1993">
              <w:t>renomegaly</w:t>
            </w:r>
            <w:proofErr w:type="spellEnd"/>
            <w:r w:rsidRPr="00BF1993">
              <w:t xml:space="preserve">. </w:t>
            </w:r>
            <w:r>
              <w:t>U</w:t>
            </w:r>
            <w:r w:rsidRPr="00BF1993">
              <w:t xml:space="preserve">ntreated neonates </w:t>
            </w:r>
            <w:r>
              <w:t xml:space="preserve">may </w:t>
            </w:r>
            <w:r w:rsidRPr="00BF1993">
              <w:t xml:space="preserve">present with severe hypoglycaemia; more commonly, however, untreated infants present at </w:t>
            </w:r>
            <w:r>
              <w:t>3-4</w:t>
            </w:r>
            <w:r w:rsidRPr="00BF1993">
              <w:t xml:space="preserve"> months with hepatomegaly, lactic acidosis, hyperuric</w:t>
            </w:r>
            <w:r>
              <w:t>a</w:t>
            </w:r>
            <w:r w:rsidRPr="00BF1993">
              <w:t>emia, hyperlipidaemia, hyper</w:t>
            </w:r>
            <w:r>
              <w:t>-</w:t>
            </w:r>
            <w:proofErr w:type="spellStart"/>
            <w:r w:rsidRPr="00BF1993">
              <w:t>triglycerid</w:t>
            </w:r>
            <w:r>
              <w:t>a</w:t>
            </w:r>
            <w:r w:rsidRPr="00BF1993">
              <w:t>emia</w:t>
            </w:r>
            <w:proofErr w:type="spellEnd"/>
            <w:r w:rsidRPr="00BF1993">
              <w:t xml:space="preserve">, and/or hypoglycaemic seizures. </w:t>
            </w:r>
            <w:r>
              <w:t>D</w:t>
            </w:r>
            <w:r w:rsidRPr="00BF1993">
              <w:t xml:space="preserve">eposits of cholesterol in the skin </w:t>
            </w:r>
            <w:r>
              <w:t>(x</w:t>
            </w:r>
            <w:r w:rsidRPr="00BF1993">
              <w:t>anthoma</w:t>
            </w:r>
            <w:r>
              <w:t>)</w:t>
            </w:r>
            <w:r w:rsidRPr="00BF1993">
              <w:t xml:space="preserve"> and diarrh</w:t>
            </w:r>
            <w:r>
              <w:t>o</w:t>
            </w:r>
            <w:r w:rsidRPr="00BF1993">
              <w:t>ea may be present. Impaired platelet</w:t>
            </w:r>
            <w:r>
              <w:t>,</w:t>
            </w:r>
            <w:r w:rsidRPr="00BF1993">
              <w:t xml:space="preserve"> </w:t>
            </w:r>
            <w:proofErr w:type="gramStart"/>
            <w:r w:rsidRPr="00BF1993">
              <w:t>neutrophil</w:t>
            </w:r>
            <w:proofErr w:type="gramEnd"/>
            <w:r w:rsidRPr="00BF1993">
              <w:t xml:space="preserve"> and monocyte function as well as chronic neutropenia</w:t>
            </w:r>
            <w:r>
              <w:t xml:space="preserve"> is observed. </w:t>
            </w:r>
            <w:r w:rsidRPr="00BF1993">
              <w:t xml:space="preserve">Long-term complications of untreated GSDI include growth retardation resulting in short stature, osteoporosis, delayed </w:t>
            </w:r>
            <w:r w:rsidRPr="00BF1993">
              <w:lastRenderedPageBreak/>
              <w:t>puberty, gout, renal disease, pulmonary hypertension, hepatic adenomas with potential for malignant transformation, polycystic ovaries, pancreatitis, and changes in brain function. Most affected individuals live into adulthood</w:t>
            </w:r>
            <w:r>
              <w:t xml:space="preserve"> </w:t>
            </w:r>
            <w:r>
              <w:fldChar w:fldCharType="begin"/>
            </w:r>
            <w:r>
              <w:instrText xml:space="preserve"> ADDIN EN.CITE &lt;EndNote&gt;&lt;Cite&gt;&lt;Author&gt;Bali&lt;/Author&gt;&lt;Year&gt;2016&lt;/Year&gt;&lt;RecNum&gt;54&lt;/RecNum&gt;&lt;DisplayText&gt;(Bali, Chen, Austin, &amp;amp; Goldstein, 2016)&lt;/DisplayText&gt;&lt;record&gt;&lt;rec-number&gt;54&lt;/rec-number&gt;&lt;foreign-keys&gt;&lt;key app="EN" db-id="tvd2x2aeprp90te22eox9tvxfe2a0xv0tdfs" timestamp="1623373159"&gt;54&lt;/key&gt;&lt;/foreign-keys&gt;&lt;ref-type name="Web Page"&gt;12&lt;/ref-type&gt;&lt;contributors&gt;&lt;authors&gt;&lt;author&gt;Bali, D.S.&lt;/author&gt;&lt;author&gt;Chen, Y.T.&lt;/author&gt;&lt;author&gt;Austin, S.&lt;/author&gt;&lt;author&gt;Goldstein, J.L.&lt;/author&gt;&lt;/authors&gt;&lt;secondary-authors&gt;&lt;author&gt;Adam, M.P.&lt;/author&gt;&lt;author&gt;Ardinger, H.H.&lt;/author&gt;&lt;author&gt;Pagon, R.A.&lt;/author&gt;&lt;/secondary-authors&gt;&lt;/contributors&gt;&lt;titles&gt;&lt;title&gt;Glycogen Storage Disease Type I&lt;/title&gt;&lt;secondary-title&gt;GeneReviews®&lt;/secondary-title&gt;&lt;/titles&gt;&lt;volume&gt;2020&lt;/volume&gt;&lt;number&gt;25th August&lt;/number&gt;&lt;dates&gt;&lt;year&gt;2016&lt;/year&gt;&lt;/dates&gt;&lt;pub-location&gt;Seattle&lt;/pub-location&gt;&lt;publisher&gt;University of Washington&lt;/publisher&gt;&lt;urls&gt;&lt;related-urls&gt;&lt;url&gt;https://www.ncbi.nlm.nih.gov/books/NBK1312/&lt;/url&gt;&lt;/related-urls&gt;&lt;/urls&gt;&lt;/record&gt;&lt;/Cite&gt;&lt;/EndNote&gt;</w:instrText>
            </w:r>
            <w:r>
              <w:fldChar w:fldCharType="separate"/>
            </w:r>
            <w:r>
              <w:rPr>
                <w:noProof/>
              </w:rPr>
              <w:t>(Bali, Chen, Austin, &amp; Goldstein, 2016)</w:t>
            </w:r>
            <w:r>
              <w:fldChar w:fldCharType="end"/>
            </w:r>
            <w:r>
              <w:t>.</w:t>
            </w:r>
          </w:p>
        </w:tc>
        <w:tc>
          <w:tcPr>
            <w:tcW w:w="864" w:type="pct"/>
            <w:tcBorders>
              <w:top w:val="single" w:sz="4" w:space="0" w:color="auto"/>
              <w:bottom w:val="single" w:sz="4" w:space="0" w:color="auto"/>
            </w:tcBorders>
          </w:tcPr>
          <w:p w14:paraId="606208FC" w14:textId="77777777" w:rsidR="003B2EF3" w:rsidRDefault="003B2EF3" w:rsidP="00024485">
            <w:pPr>
              <w:pStyle w:val="Tabletext"/>
            </w:pPr>
            <w:r w:rsidRPr="003949B3">
              <w:lastRenderedPageBreak/>
              <w:t xml:space="preserve">Autosomal recessive. </w:t>
            </w:r>
            <w:r w:rsidRPr="004C453B">
              <w:t>Carriers typically do not show signs or symptoms</w:t>
            </w:r>
            <w:r>
              <w:t>.</w:t>
            </w:r>
          </w:p>
          <w:p w14:paraId="2BFF8769" w14:textId="3A2C2C8A" w:rsidR="003B2EF3" w:rsidRPr="00FA4A2E" w:rsidRDefault="003B2EF3" w:rsidP="00024485">
            <w:pPr>
              <w:pStyle w:val="Tabletext"/>
            </w:pPr>
            <w:r>
              <w:t>GSD1 is caused by pathogenic variants in 2</w:t>
            </w:r>
            <w:r w:rsidRPr="004C453B">
              <w:t xml:space="preserve"> genes, </w:t>
            </w:r>
            <w:r w:rsidRPr="004C453B">
              <w:rPr>
                <w:rStyle w:val="Emphasis"/>
              </w:rPr>
              <w:t>G6PC</w:t>
            </w:r>
            <w:r w:rsidR="00FC7F18">
              <w:rPr>
                <w:rStyle w:val="Emphasis"/>
              </w:rPr>
              <w:t>1</w:t>
            </w:r>
            <w:r w:rsidRPr="004C453B">
              <w:t xml:space="preserve"> and </w:t>
            </w:r>
            <w:r w:rsidRPr="004C453B">
              <w:rPr>
                <w:rStyle w:val="Emphasis"/>
              </w:rPr>
              <w:t>SLC37A4</w:t>
            </w:r>
            <w:r w:rsidRPr="00D02768">
              <w:rPr>
                <w:rStyle w:val="Emphasis"/>
              </w:rPr>
              <w:t xml:space="preserve">, coding for the enzyme glucose-6-phosphatase (G6Pase). </w:t>
            </w:r>
            <w:r w:rsidRPr="004C453B">
              <w:t>These variants</w:t>
            </w:r>
            <w:r>
              <w:t xml:space="preserve"> </w:t>
            </w:r>
            <w:r w:rsidRPr="004C453B">
              <w:t>prevent the breakdown of glucose</w:t>
            </w:r>
            <w:r>
              <w:t>-</w:t>
            </w:r>
            <w:r w:rsidRPr="004C453B">
              <w:t>6-phosphate</w:t>
            </w:r>
            <w:r>
              <w:t xml:space="preserve"> to glucose, decreasing available energy to the body. As a result, toxic levels of </w:t>
            </w:r>
            <w:r w:rsidRPr="004C453B">
              <w:t xml:space="preserve">glycogen and fat </w:t>
            </w:r>
            <w:r>
              <w:t xml:space="preserve">build up </w:t>
            </w:r>
            <w:r w:rsidRPr="004C453B">
              <w:t>within cells</w:t>
            </w:r>
            <w:r>
              <w:t xml:space="preserve">, </w:t>
            </w:r>
            <w:r w:rsidRPr="004C453B">
              <w:t>damag</w:t>
            </w:r>
            <w:r>
              <w:t>ing</w:t>
            </w:r>
            <w:r w:rsidRPr="004C453B">
              <w:t xml:space="preserve"> organs and tissues throughout the body, </w:t>
            </w:r>
            <w:r>
              <w:t xml:space="preserve">but in </w:t>
            </w:r>
            <w:r w:rsidRPr="004C453B">
              <w:t>particular</w:t>
            </w:r>
            <w:r>
              <w:t>,</w:t>
            </w:r>
            <w:r w:rsidRPr="004C453B">
              <w:t xml:space="preserve"> the liver and kidneys</w:t>
            </w:r>
            <w:r>
              <w:t xml:space="preserve"> </w:t>
            </w:r>
            <w:r>
              <w:fldChar w:fldCharType="begin"/>
            </w:r>
            <w:r>
              <w:instrText xml:space="preserve"> ADDIN EN.CITE &lt;EndNote&gt;&lt;Cite&gt;&lt;Author&gt;NIH&lt;/Author&gt;&lt;Year&gt;2015&lt;/Year&gt;&lt;RecNum&gt;55&lt;/RecNum&gt;&lt;DisplayText&gt;(NIH, 2015c)&lt;/DisplayText&gt;&lt;record&gt;&lt;rec-number&gt;55&lt;/rec-number&gt;&lt;foreign-keys&gt;&lt;key app="EN" db-id="tvd2x2aeprp90te22eox9tvxfe2a0xv0tdfs" timestamp="1623373159"&gt;55&lt;/key&gt;&lt;/foreign-keys&gt;&lt;ref-type name="Web Page"&gt;12&lt;/ref-type&gt;&lt;contributors&gt;&lt;authors&gt;&lt;author&gt;NIH&lt;/author&gt;&lt;/authors&gt;&lt;/contributors&gt;&lt;titles&gt;&lt;title&gt;Glycogen storage disease type I&lt;/title&gt;&lt;secondary-title&gt;Genetics Home Reference&lt;/secondary-title&gt;&lt;/titles&gt;&lt;volume&gt;2020&lt;/volume&gt;&lt;number&gt;18th August&lt;/number&gt;&lt;dates&gt;&lt;year&gt;2015&lt;/year&gt;&lt;/dates&gt;&lt;pub-location&gt;Bethesda, Maryland, USA&lt;/pub-location&gt;&lt;publisher&gt;U.S. National Institutes of Health and National Library of Medicine&lt;/publisher&gt;&lt;urls&gt;&lt;related-urls&gt;&lt;url&gt;https://ghr.nlm.nih.gov/condition/glycogen-storage-disease-type-i&lt;/url&gt;&lt;/related-urls&gt;&lt;/urls&gt;&lt;/record&gt;&lt;/Cite&gt;&lt;/EndNote&gt;</w:instrText>
            </w:r>
            <w:r>
              <w:fldChar w:fldCharType="separate"/>
            </w:r>
            <w:r>
              <w:rPr>
                <w:noProof/>
              </w:rPr>
              <w:t>(NIH, 2015c)</w:t>
            </w:r>
            <w:r>
              <w:fldChar w:fldCharType="end"/>
            </w:r>
            <w:r>
              <w:t>.</w:t>
            </w:r>
          </w:p>
        </w:tc>
        <w:tc>
          <w:tcPr>
            <w:tcW w:w="1016" w:type="pct"/>
            <w:tcBorders>
              <w:top w:val="single" w:sz="4" w:space="0" w:color="auto"/>
              <w:bottom w:val="single" w:sz="4" w:space="0" w:color="auto"/>
            </w:tcBorders>
          </w:tcPr>
          <w:p w14:paraId="04FAA09D" w14:textId="77777777" w:rsidR="003B2EF3" w:rsidRPr="00820955" w:rsidRDefault="003B2EF3" w:rsidP="00024485">
            <w:pPr>
              <w:pStyle w:val="Tabletext"/>
            </w:pPr>
            <w:r w:rsidRPr="00820955">
              <w:t xml:space="preserve">Medical nutritional therapy to maintain normal blood glucose levels, allopurinol to prevent gout; lipid-lowering medications; citrate supplementation to prevent urinary calculi or ameliorate </w:t>
            </w:r>
            <w:proofErr w:type="spellStart"/>
            <w:r w:rsidRPr="00820955">
              <w:t>nephrocalcinosis</w:t>
            </w:r>
            <w:proofErr w:type="spellEnd"/>
            <w:r w:rsidRPr="00820955">
              <w:t xml:space="preserve">; ACE inhibitors to treat microalbuminuria; kidney transplantation for end-stage renal disease; surgery or other interventions </w:t>
            </w:r>
            <w:r>
              <w:t xml:space="preserve">for </w:t>
            </w:r>
            <w:r w:rsidRPr="00820955">
              <w:t>hepatic adenomas; liver transplantation for those individuals refractory to medical treatment; and treatment with human granulocyte colony-stimulating factor</w:t>
            </w:r>
            <w:r>
              <w:t xml:space="preserve"> (G-CSF)</w:t>
            </w:r>
            <w:r w:rsidRPr="00820955">
              <w:t xml:space="preserve"> for recurrent infections.</w:t>
            </w:r>
            <w:r>
              <w:t xml:space="preserve"> </w:t>
            </w:r>
          </w:p>
          <w:p w14:paraId="1DF055DE" w14:textId="77E5BF23" w:rsidR="003B2EF3" w:rsidRPr="00820955" w:rsidRDefault="003B2EF3" w:rsidP="00024485">
            <w:pPr>
              <w:pStyle w:val="Tabletext"/>
            </w:pPr>
            <w:r w:rsidRPr="00820955">
              <w:t xml:space="preserve">Surveillance: </w:t>
            </w:r>
            <w:r>
              <w:t>from &gt;10 years of age a</w:t>
            </w:r>
            <w:r w:rsidRPr="00820955">
              <w:t xml:space="preserve">nnual </w:t>
            </w:r>
            <w:r>
              <w:t xml:space="preserve">kidney US, </w:t>
            </w:r>
            <w:r w:rsidRPr="00820955">
              <w:t>monitor for hepatic adenomas</w:t>
            </w:r>
            <w:r>
              <w:t xml:space="preserve"> with </w:t>
            </w:r>
            <w:r w:rsidR="00596D38">
              <w:t>ultrasound</w:t>
            </w:r>
            <w:r>
              <w:t xml:space="preserve">, MRI or CT depending on age </w:t>
            </w:r>
            <w:r w:rsidRPr="00820955">
              <w:t>every 12</w:t>
            </w:r>
            <w:r>
              <w:t>-</w:t>
            </w:r>
            <w:r w:rsidRPr="00820955">
              <w:t xml:space="preserve">24 months; hepatic profile (AST, ALT, albumin, bilirubin, PT/INR, </w:t>
            </w:r>
            <w:proofErr w:type="spellStart"/>
            <w:r w:rsidRPr="00820955">
              <w:t>aPTT</w:t>
            </w:r>
            <w:proofErr w:type="spellEnd"/>
            <w:r w:rsidRPr="00820955">
              <w:t xml:space="preserve">) and serum creatinine every </w:t>
            </w:r>
            <w:r>
              <w:t>6-</w:t>
            </w:r>
            <w:r w:rsidRPr="00820955">
              <w:t xml:space="preserve">12 months; complete blood count every </w:t>
            </w:r>
            <w:r>
              <w:t>3</w:t>
            </w:r>
            <w:r w:rsidRPr="00820955">
              <w:t xml:space="preserve"> months for those on G-CSF; imaging with </w:t>
            </w:r>
            <w:r w:rsidRPr="00820955">
              <w:lastRenderedPageBreak/>
              <w:t xml:space="preserve">measurement of the spleen for those on G-CSF; </w:t>
            </w:r>
            <w:r>
              <w:t xml:space="preserve">&gt; 10 years age screen for </w:t>
            </w:r>
            <w:r w:rsidRPr="00820955">
              <w:t>pulmonary hypertension</w:t>
            </w:r>
            <w:r>
              <w:t xml:space="preserve"> with ECG</w:t>
            </w:r>
            <w:r w:rsidRPr="00820955">
              <w:t xml:space="preserve"> every </w:t>
            </w:r>
            <w:r>
              <w:t>3</w:t>
            </w:r>
            <w:r w:rsidRPr="00820955">
              <w:t xml:space="preserve"> years; routine monitoring of vitamin D levels.</w:t>
            </w:r>
          </w:p>
          <w:p w14:paraId="281AED48" w14:textId="77777777" w:rsidR="003B2EF3" w:rsidRPr="00FA4A2E" w:rsidRDefault="003B2EF3" w:rsidP="00024485">
            <w:pPr>
              <w:pStyle w:val="Tabletext"/>
            </w:pPr>
            <w:r w:rsidRPr="00820955">
              <w:t>Diet should be low in fructose and sucrose; galactose and lactose intake should be limited</w:t>
            </w:r>
            <w:r>
              <w:t>. C</w:t>
            </w:r>
            <w:r w:rsidRPr="00820955">
              <w:t>ombined oral contraception should be avoided in women, particularly those with adenomas</w:t>
            </w:r>
            <w:r>
              <w:t xml:space="preserve"> </w:t>
            </w:r>
            <w:r>
              <w:fldChar w:fldCharType="begin"/>
            </w:r>
            <w:r>
              <w:instrText xml:space="preserve"> ADDIN EN.CITE &lt;EndNote&gt;&lt;Cite&gt;&lt;Author&gt;Bali&lt;/Author&gt;&lt;Year&gt;2016&lt;/Year&gt;&lt;RecNum&gt;54&lt;/RecNum&gt;&lt;DisplayText&gt;(Bali et al., 2016)&lt;/DisplayText&gt;&lt;record&gt;&lt;rec-number&gt;54&lt;/rec-number&gt;&lt;foreign-keys&gt;&lt;key app="EN" db-id="tvd2x2aeprp90te22eox9tvxfe2a0xv0tdfs" timestamp="1623373159"&gt;54&lt;/key&gt;&lt;/foreign-keys&gt;&lt;ref-type name="Web Page"&gt;12&lt;/ref-type&gt;&lt;contributors&gt;&lt;authors&gt;&lt;author&gt;Bali, D.S.&lt;/author&gt;&lt;author&gt;Chen, Y.T.&lt;/author&gt;&lt;author&gt;Austin, S.&lt;/author&gt;&lt;author&gt;Goldstein, J.L.&lt;/author&gt;&lt;/authors&gt;&lt;secondary-authors&gt;&lt;author&gt;Adam, M.P.&lt;/author&gt;&lt;author&gt;Ardinger, H.H.&lt;/author&gt;&lt;author&gt;Pagon, R.A.&lt;/author&gt;&lt;/secondary-authors&gt;&lt;/contributors&gt;&lt;titles&gt;&lt;title&gt;Glycogen Storage Disease Type I&lt;/title&gt;&lt;secondary-title&gt;GeneReviews®&lt;/secondary-title&gt;&lt;/titles&gt;&lt;volume&gt;2020&lt;/volume&gt;&lt;number&gt;25th August&lt;/number&gt;&lt;dates&gt;&lt;year&gt;2016&lt;/year&gt;&lt;/dates&gt;&lt;pub-location&gt;Seattle&lt;/pub-location&gt;&lt;publisher&gt;University of Washington&lt;/publisher&gt;&lt;urls&gt;&lt;related-urls&gt;&lt;url&gt;https://www.ncbi.nlm.nih.gov/books/NBK1312/&lt;/url&gt;&lt;/related-urls&gt;&lt;/urls&gt;&lt;/record&gt;&lt;/Cite&gt;&lt;/EndNote&gt;</w:instrText>
            </w:r>
            <w:r>
              <w:fldChar w:fldCharType="separate"/>
            </w:r>
            <w:r>
              <w:rPr>
                <w:noProof/>
              </w:rPr>
              <w:t>(Bali et al., 2016)</w:t>
            </w:r>
            <w:r>
              <w:fldChar w:fldCharType="end"/>
            </w:r>
            <w:r>
              <w:t>.</w:t>
            </w:r>
          </w:p>
        </w:tc>
        <w:tc>
          <w:tcPr>
            <w:tcW w:w="674" w:type="pct"/>
            <w:tcBorders>
              <w:top w:val="single" w:sz="4" w:space="0" w:color="auto"/>
              <w:bottom w:val="single" w:sz="4" w:space="0" w:color="auto"/>
            </w:tcBorders>
          </w:tcPr>
          <w:p w14:paraId="2C0DAF82" w14:textId="0FBB10D3" w:rsidR="003B2EF3" w:rsidRDefault="003B2EF3" w:rsidP="00024485">
            <w:pPr>
              <w:pStyle w:val="Tabletext"/>
            </w:pPr>
            <w:r>
              <w:lastRenderedPageBreak/>
              <w:t>O</w:t>
            </w:r>
            <w:r w:rsidRPr="0093390B">
              <w:t>verall incidence of GSD</w:t>
            </w:r>
            <w:r>
              <w:t xml:space="preserve">1 </w:t>
            </w:r>
            <w:r w:rsidR="00596D38">
              <w:t>=</w:t>
            </w:r>
            <w:r>
              <w:t>1:</w:t>
            </w:r>
            <w:r w:rsidRPr="0093390B">
              <w:t>100,000</w:t>
            </w:r>
            <w:r>
              <w:t xml:space="preserve"> </w:t>
            </w:r>
            <w:r>
              <w:br/>
              <w:t>D</w:t>
            </w:r>
            <w:r w:rsidRPr="0093390B">
              <w:t xml:space="preserve">isease prevalence </w:t>
            </w:r>
            <w:r>
              <w:t xml:space="preserve">in </w:t>
            </w:r>
            <w:r w:rsidR="00666B40">
              <w:t>Ashkenazi Jewish</w:t>
            </w:r>
            <w:r w:rsidR="00F84B1C">
              <w:t xml:space="preserve"> </w:t>
            </w:r>
            <w:r>
              <w:t>population 1:</w:t>
            </w:r>
            <w:r w:rsidRPr="0093390B">
              <w:t xml:space="preserve">20,000 </w:t>
            </w:r>
            <w:r>
              <w:fldChar w:fldCharType="begin"/>
            </w:r>
            <w:r>
              <w:instrText xml:space="preserve"> ADDIN EN.CITE &lt;EndNote&gt;&lt;Cite&gt;&lt;Author&gt;Bali&lt;/Author&gt;&lt;Year&gt;2016&lt;/Year&gt;&lt;RecNum&gt;54&lt;/RecNum&gt;&lt;DisplayText&gt;(Bali et al., 2016)&lt;/DisplayText&gt;&lt;record&gt;&lt;rec-number&gt;54&lt;/rec-number&gt;&lt;foreign-keys&gt;&lt;key app="EN" db-id="tvd2x2aeprp90te22eox9tvxfe2a0xv0tdfs" timestamp="1623373159"&gt;54&lt;/key&gt;&lt;/foreign-keys&gt;&lt;ref-type name="Web Page"&gt;12&lt;/ref-type&gt;&lt;contributors&gt;&lt;authors&gt;&lt;author&gt;Bali, D.S.&lt;/author&gt;&lt;author&gt;Chen, Y.T.&lt;/author&gt;&lt;author&gt;Austin, S.&lt;/author&gt;&lt;author&gt;Goldstein, J.L.&lt;/author&gt;&lt;/authors&gt;&lt;secondary-authors&gt;&lt;author&gt;Adam, M.P.&lt;/author&gt;&lt;author&gt;Ardinger, H.H.&lt;/author&gt;&lt;author&gt;Pagon, R.A.&lt;/author&gt;&lt;/secondary-authors&gt;&lt;/contributors&gt;&lt;titles&gt;&lt;title&gt;Glycogen Storage Disease Type I&lt;/title&gt;&lt;secondary-title&gt;GeneReviews®&lt;/secondary-title&gt;&lt;/titles&gt;&lt;volume&gt;2020&lt;/volume&gt;&lt;number&gt;25th August&lt;/number&gt;&lt;dates&gt;&lt;year&gt;2016&lt;/year&gt;&lt;/dates&gt;&lt;pub-location&gt;Seattle&lt;/pub-location&gt;&lt;publisher&gt;University of Washington&lt;/publisher&gt;&lt;urls&gt;&lt;related-urls&gt;&lt;url&gt;https://www.ncbi.nlm.nih.gov/books/NBK1312/&lt;/url&gt;&lt;/related-urls&gt;&lt;/urls&gt;&lt;/record&gt;&lt;/Cite&gt;&lt;/EndNote&gt;</w:instrText>
            </w:r>
            <w:r>
              <w:fldChar w:fldCharType="separate"/>
            </w:r>
            <w:r>
              <w:rPr>
                <w:noProof/>
              </w:rPr>
              <w:t>(Bali et al., 2016)</w:t>
            </w:r>
            <w:r>
              <w:fldChar w:fldCharType="end"/>
            </w:r>
          </w:p>
          <w:p w14:paraId="2412EB97" w14:textId="77777777" w:rsidR="003B2EF3" w:rsidRPr="00FA4A2E" w:rsidRDefault="003B2EF3" w:rsidP="00024485">
            <w:pPr>
              <w:pStyle w:val="Tabletext"/>
            </w:pPr>
            <w:r w:rsidRPr="009C6707">
              <w:rPr>
                <w:bCs/>
              </w:rPr>
              <w:t>Carrier frequency</w:t>
            </w:r>
            <w:r>
              <w:rPr>
                <w:bCs/>
              </w:rPr>
              <w:br/>
            </w:r>
            <w:r>
              <w:t xml:space="preserve">1:64 </w: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 </w:instrTex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EN.CITE.DATA </w:instrText>
            </w:r>
            <w:r>
              <w:fldChar w:fldCharType="end"/>
            </w:r>
            <w:r>
              <w:fldChar w:fldCharType="separate"/>
            </w:r>
            <w:r>
              <w:rPr>
                <w:noProof/>
              </w:rPr>
              <w:t>(Wilson et al., 2016)</w:t>
            </w:r>
            <w:r>
              <w:fldChar w:fldCharType="end"/>
            </w:r>
          </w:p>
        </w:tc>
        <w:tc>
          <w:tcPr>
            <w:tcW w:w="1126" w:type="pct"/>
            <w:tcBorders>
              <w:top w:val="single" w:sz="4" w:space="0" w:color="auto"/>
              <w:bottom w:val="single" w:sz="4" w:space="0" w:color="auto"/>
            </w:tcBorders>
          </w:tcPr>
          <w:p w14:paraId="04E4BFC6" w14:textId="4BB5756F" w:rsidR="003B2EF3" w:rsidRDefault="003B2EF3" w:rsidP="00024485">
            <w:pPr>
              <w:pStyle w:val="Tabletext"/>
            </w:pPr>
            <w:r w:rsidRPr="00A4370C">
              <w:t xml:space="preserve">Biallelic pathogenic variants in </w:t>
            </w:r>
            <w:r>
              <w:br/>
            </w:r>
            <w:r w:rsidRPr="00A4370C">
              <w:rPr>
                <w:rStyle w:val="Emphasis"/>
              </w:rPr>
              <w:t>G6PC</w:t>
            </w:r>
            <w:r w:rsidR="00FC7F18">
              <w:rPr>
                <w:rStyle w:val="Emphasis"/>
              </w:rPr>
              <w:t>1</w:t>
            </w:r>
            <w:r w:rsidRPr="00A4370C">
              <w:t xml:space="preserve"> (</w:t>
            </w:r>
            <w:proofErr w:type="spellStart"/>
            <w:r w:rsidRPr="00A4370C">
              <w:t>GSDIa</w:t>
            </w:r>
            <w:proofErr w:type="spellEnd"/>
            <w:r w:rsidRPr="00A4370C">
              <w:t>)</w:t>
            </w:r>
            <w:r>
              <w:t xml:space="preserve"> (80%) chromosome locus </w:t>
            </w:r>
            <w:r w:rsidRPr="00EF308B">
              <w:t>17q21.31</w:t>
            </w:r>
          </w:p>
          <w:p w14:paraId="569DC015" w14:textId="77777777" w:rsidR="003B2EF3" w:rsidRPr="00132ECC" w:rsidRDefault="003B2EF3" w:rsidP="00024485">
            <w:pPr>
              <w:pStyle w:val="Tabletext"/>
            </w:pPr>
            <w:r>
              <w:t>OR</w:t>
            </w:r>
            <w:r>
              <w:br/>
            </w:r>
            <w:r w:rsidRPr="00A4370C">
              <w:rPr>
                <w:rStyle w:val="Emphasis"/>
              </w:rPr>
              <w:t xml:space="preserve">SLC37A4 </w:t>
            </w:r>
            <w:r w:rsidRPr="00A4370C">
              <w:t>(</w:t>
            </w:r>
            <w:proofErr w:type="spellStart"/>
            <w:r w:rsidRPr="00A4370C">
              <w:t>GSDIb</w:t>
            </w:r>
            <w:proofErr w:type="spellEnd"/>
            <w:r w:rsidRPr="00A4370C">
              <w:t>)</w:t>
            </w:r>
            <w:r>
              <w:t xml:space="preserve"> (20%) chromosome locus </w:t>
            </w:r>
            <w:r w:rsidRPr="00EF308B">
              <w:t>11q23.3</w:t>
            </w:r>
            <w:r>
              <w:t xml:space="preserve"> </w:t>
            </w:r>
            <w:r>
              <w:fldChar w:fldCharType="begin"/>
            </w:r>
            <w:r>
              <w:instrText xml:space="preserve"> ADDIN EN.CITE &lt;EndNote&gt;&lt;Cite&gt;&lt;Author&gt;Bali&lt;/Author&gt;&lt;Year&gt;2016&lt;/Year&gt;&lt;RecNum&gt;54&lt;/RecNum&gt;&lt;DisplayText&gt;(Bali et al., 2016)&lt;/DisplayText&gt;&lt;record&gt;&lt;rec-number&gt;54&lt;/rec-number&gt;&lt;foreign-keys&gt;&lt;key app="EN" db-id="tvd2x2aeprp90te22eox9tvxfe2a0xv0tdfs" timestamp="1623373159"&gt;54&lt;/key&gt;&lt;/foreign-keys&gt;&lt;ref-type name="Web Page"&gt;12&lt;/ref-type&gt;&lt;contributors&gt;&lt;authors&gt;&lt;author&gt;Bali, D.S.&lt;/author&gt;&lt;author&gt;Chen, Y.T.&lt;/author&gt;&lt;author&gt;Austin, S.&lt;/author&gt;&lt;author&gt;Goldstein, J.L.&lt;/author&gt;&lt;/authors&gt;&lt;secondary-authors&gt;&lt;author&gt;Adam, M.P.&lt;/author&gt;&lt;author&gt;Ardinger, H.H.&lt;/author&gt;&lt;author&gt;Pagon, R.A.&lt;/author&gt;&lt;/secondary-authors&gt;&lt;/contributors&gt;&lt;titles&gt;&lt;title&gt;Glycogen Storage Disease Type I&lt;/title&gt;&lt;secondary-title&gt;GeneReviews®&lt;/secondary-title&gt;&lt;/titles&gt;&lt;volume&gt;2020&lt;/volume&gt;&lt;number&gt;25th August&lt;/number&gt;&lt;dates&gt;&lt;year&gt;2016&lt;/year&gt;&lt;/dates&gt;&lt;pub-location&gt;Seattle&lt;/pub-location&gt;&lt;publisher&gt;University of Washington&lt;/publisher&gt;&lt;urls&gt;&lt;related-urls&gt;&lt;url&gt;https://www.ncbi.nlm.nih.gov/books/NBK1312/&lt;/url&gt;&lt;/related-urls&gt;&lt;/urls&gt;&lt;/record&gt;&lt;/Cite&gt;&lt;/EndNote&gt;</w:instrText>
            </w:r>
            <w:r>
              <w:fldChar w:fldCharType="separate"/>
            </w:r>
            <w:r>
              <w:rPr>
                <w:noProof/>
              </w:rPr>
              <w:t>(Bali et al., 2016)</w:t>
            </w:r>
            <w:r>
              <w:fldChar w:fldCharType="end"/>
            </w:r>
          </w:p>
        </w:tc>
      </w:tr>
      <w:tr w:rsidR="003B2EF3" w:rsidRPr="00E82F54" w14:paraId="7C4E54B1" w14:textId="77777777" w:rsidTr="007C3C21">
        <w:tc>
          <w:tcPr>
            <w:tcW w:w="498" w:type="pct"/>
            <w:tcBorders>
              <w:top w:val="single" w:sz="4" w:space="0" w:color="auto"/>
              <w:bottom w:val="single" w:sz="4" w:space="0" w:color="auto"/>
            </w:tcBorders>
          </w:tcPr>
          <w:p w14:paraId="094A25EC" w14:textId="77777777" w:rsidR="003B2EF3" w:rsidRPr="00F503C6" w:rsidRDefault="003B2EF3" w:rsidP="00024485">
            <w:pPr>
              <w:pStyle w:val="Tabletext"/>
            </w:pPr>
            <w:r w:rsidRPr="00F503C6">
              <w:t xml:space="preserve">Fanconi anaemia </w:t>
            </w:r>
            <w:r>
              <w:t>(FA)</w:t>
            </w:r>
          </w:p>
        </w:tc>
        <w:tc>
          <w:tcPr>
            <w:tcW w:w="822" w:type="pct"/>
            <w:tcBorders>
              <w:top w:val="single" w:sz="4" w:space="0" w:color="auto"/>
              <w:bottom w:val="single" w:sz="4" w:space="0" w:color="auto"/>
            </w:tcBorders>
          </w:tcPr>
          <w:p w14:paraId="7C9D917E" w14:textId="77777777" w:rsidR="003B2EF3" w:rsidRPr="0060562B" w:rsidRDefault="003B2EF3" w:rsidP="00024485">
            <w:pPr>
              <w:pStyle w:val="Tabletext"/>
            </w:pPr>
            <w:r w:rsidRPr="0060562B">
              <w:t>Approximately 90</w:t>
            </w:r>
            <w:r>
              <w:t>%</w:t>
            </w:r>
            <w:r w:rsidRPr="0060562B">
              <w:t xml:space="preserve"> of </w:t>
            </w:r>
            <w:r>
              <w:t>individuals with FA</w:t>
            </w:r>
            <w:r w:rsidRPr="0060562B">
              <w:t xml:space="preserve"> have impaired bone marrow function lead</w:t>
            </w:r>
            <w:r>
              <w:t>ing</w:t>
            </w:r>
            <w:r w:rsidRPr="0060562B">
              <w:t xml:space="preserve"> to aplastic anaemia. </w:t>
            </w:r>
            <w:r>
              <w:t xml:space="preserve">This results in </w:t>
            </w:r>
            <w:r w:rsidRPr="0060562B">
              <w:t>fatigue</w:t>
            </w:r>
            <w:r>
              <w:t xml:space="preserve"> and </w:t>
            </w:r>
            <w:r w:rsidRPr="0060562B">
              <w:t>anaemia, frequent infections due to neutropenia, and thrombocytopenia. P</w:t>
            </w:r>
            <w:r>
              <w:t>atients with FA</w:t>
            </w:r>
            <w:r w:rsidRPr="0060562B">
              <w:t xml:space="preserve"> may also develop myelodysplastic syndrome, </w:t>
            </w:r>
            <w:r>
              <w:t>where</w:t>
            </w:r>
            <w:r w:rsidRPr="0060562B">
              <w:t xml:space="preserve"> immature blood cells fail to develop</w:t>
            </w:r>
            <w:r>
              <w:t xml:space="preserve">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r>
              <w:t>.</w:t>
            </w:r>
          </w:p>
          <w:p w14:paraId="43E388E8" w14:textId="77777777" w:rsidR="003B2EF3" w:rsidRPr="0060562B" w:rsidRDefault="003B2EF3" w:rsidP="00024485">
            <w:pPr>
              <w:pStyle w:val="Tabletext"/>
            </w:pPr>
            <w:r>
              <w:t xml:space="preserve">Individuals with FA also tend to have </w:t>
            </w:r>
            <w:r w:rsidRPr="0060562B">
              <w:t>hypopigmentation</w:t>
            </w:r>
            <w:r>
              <w:t>,</w:t>
            </w:r>
            <w:r w:rsidRPr="0060562B">
              <w:t xml:space="preserve"> malformed thumbs or forearms and other skeletal problems including short stature; malformed or absent kidneys and other defects of the urinary tract; gastrointestinal abnormalities; heart defects; eye abnormalities such as small or abnormally shaped eyes; and malformed ears and </w:t>
            </w:r>
            <w:r w:rsidRPr="0060562B">
              <w:lastRenderedPageBreak/>
              <w:t xml:space="preserve">hearing loss. </w:t>
            </w:r>
            <w:r>
              <w:t>A</w:t>
            </w:r>
            <w:r w:rsidRPr="0060562B">
              <w:t>bnormal genitalia or malformations of the reproductive system</w:t>
            </w:r>
            <w:r>
              <w:t xml:space="preserve"> are also observed, resulting in infertility. H</w:t>
            </w:r>
            <w:r w:rsidRPr="0060562B">
              <w:t>ydrocephalus</w:t>
            </w:r>
            <w:r>
              <w:t xml:space="preserve"> and </w:t>
            </w:r>
            <w:r w:rsidRPr="0060562B">
              <w:t>microcephaly</w:t>
            </w:r>
            <w:r>
              <w:t xml:space="preserve"> have also been reported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r>
              <w:t>.</w:t>
            </w:r>
          </w:p>
          <w:p w14:paraId="0B08091F" w14:textId="77777777" w:rsidR="003B2EF3" w:rsidRPr="00FA4A2E" w:rsidRDefault="003B2EF3" w:rsidP="00024485">
            <w:pPr>
              <w:pStyle w:val="Tabletext"/>
            </w:pPr>
            <w:r w:rsidRPr="0060562B">
              <w:t xml:space="preserve">Individuals with </w:t>
            </w:r>
            <w:r>
              <w:t>FA</w:t>
            </w:r>
            <w:r w:rsidRPr="0060562B">
              <w:t xml:space="preserve"> have an increased risk </w:t>
            </w:r>
            <w:r>
              <w:t xml:space="preserve">(10-30%) of </w:t>
            </w:r>
            <w:r w:rsidRPr="0060562B">
              <w:t>developing acute myeloid leukemia or tumours of the head, neck, skin, gastrointestinal system, or genital tract</w:t>
            </w:r>
            <w:r>
              <w:t xml:space="preserve">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r>
              <w:t>.</w:t>
            </w:r>
          </w:p>
        </w:tc>
        <w:tc>
          <w:tcPr>
            <w:tcW w:w="864" w:type="pct"/>
            <w:tcBorders>
              <w:top w:val="single" w:sz="4" w:space="0" w:color="auto"/>
              <w:bottom w:val="single" w:sz="4" w:space="0" w:color="auto"/>
            </w:tcBorders>
          </w:tcPr>
          <w:p w14:paraId="4E529FC3" w14:textId="77777777" w:rsidR="003B2EF3" w:rsidRDefault="003B2EF3" w:rsidP="00024485">
            <w:pPr>
              <w:pStyle w:val="Tabletext"/>
            </w:pPr>
            <w:r>
              <w:lastRenderedPageBreak/>
              <w:t xml:space="preserve">FA </w:t>
            </w:r>
            <w:r w:rsidRPr="00EC17D2">
              <w:t xml:space="preserve">is most often inherited </w:t>
            </w:r>
            <w:r>
              <w:t>as</w:t>
            </w:r>
            <w:r w:rsidRPr="00EC17D2">
              <w:t xml:space="preserve"> an </w:t>
            </w:r>
            <w:r>
              <w:t>a</w:t>
            </w:r>
            <w:r w:rsidRPr="003949B3">
              <w:t>utosomal recessive</w:t>
            </w:r>
            <w:r>
              <w:t xml:space="preserve"> condition, but rarely can be X-linked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r>
              <w:t>.</w:t>
            </w:r>
          </w:p>
          <w:p w14:paraId="52C7C9D7" w14:textId="77777777" w:rsidR="003B2EF3" w:rsidRDefault="003B2EF3" w:rsidP="00024485">
            <w:pPr>
              <w:pStyle w:val="Tabletext"/>
            </w:pPr>
            <w:r w:rsidRPr="00D42F55">
              <w:t>Mutations in at least 15 genes can cause F</w:t>
            </w:r>
            <w:r>
              <w:t xml:space="preserve">A, however, </w:t>
            </w:r>
            <w:r w:rsidRPr="0000595A">
              <w:t xml:space="preserve">80-90% of cases are due to mutations in one of </w:t>
            </w:r>
            <w:r>
              <w:t>3</w:t>
            </w:r>
            <w:r w:rsidRPr="0000595A">
              <w:t xml:space="preserve"> genes: </w:t>
            </w:r>
            <w:r w:rsidRPr="00D02768">
              <w:rPr>
                <w:i/>
                <w:iCs/>
              </w:rPr>
              <w:t>FANCA</w:t>
            </w:r>
            <w:r>
              <w:t xml:space="preserve"> (60-70%)</w:t>
            </w:r>
            <w:r w:rsidRPr="0000595A">
              <w:t xml:space="preserve">, </w:t>
            </w:r>
            <w:r w:rsidRPr="00D02768">
              <w:rPr>
                <w:i/>
                <w:iCs/>
              </w:rPr>
              <w:t>FANCC</w:t>
            </w:r>
            <w:r>
              <w:t xml:space="preserve"> (14%)</w:t>
            </w:r>
            <w:r w:rsidRPr="0000595A">
              <w:t xml:space="preserve">, and </w:t>
            </w:r>
            <w:r w:rsidRPr="00D02768">
              <w:rPr>
                <w:i/>
                <w:iCs/>
              </w:rPr>
              <w:t>FANCG</w:t>
            </w:r>
            <w:r>
              <w:t xml:space="preserve"> (10%)</w:t>
            </w:r>
            <w:r w:rsidRPr="0000595A">
              <w:t>.</w:t>
            </w:r>
            <w:r>
              <w:t xml:space="preserve"> </w:t>
            </w:r>
            <w:r w:rsidRPr="00D42F55">
              <w:t>Proteins produced from these genes are involved in a cell process known as the FA pathway</w:t>
            </w:r>
            <w:r>
              <w:t xml:space="preserve"> or complex, which is </w:t>
            </w:r>
            <w:r w:rsidRPr="00D42F55">
              <w:t>activated</w:t>
            </w:r>
            <w:r>
              <w:t xml:space="preserve"> when </w:t>
            </w:r>
            <w:r w:rsidRPr="00D42F55">
              <w:t xml:space="preserve">DNA replication is blocked due to DNA damage. </w:t>
            </w:r>
          </w:p>
          <w:p w14:paraId="55971A51" w14:textId="1F264849" w:rsidR="003B2EF3" w:rsidRDefault="003B2EF3" w:rsidP="00024485">
            <w:pPr>
              <w:pStyle w:val="Tabletext"/>
            </w:pPr>
            <w:r>
              <w:t xml:space="preserve">Pathogenic variants in </w:t>
            </w:r>
            <w:r w:rsidRPr="00D42F55">
              <w:t>any of the</w:t>
            </w:r>
            <w:r>
              <w:t>se</w:t>
            </w:r>
            <w:r w:rsidRPr="00D42F55">
              <w:t xml:space="preserve"> genes will </w:t>
            </w:r>
            <w:r>
              <w:t xml:space="preserve">produce a </w:t>
            </w:r>
            <w:r w:rsidRPr="00D42F55">
              <w:t>non</w:t>
            </w:r>
            <w:r>
              <w:t>-</w:t>
            </w:r>
            <w:r w:rsidRPr="00D42F55">
              <w:t xml:space="preserve">functional </w:t>
            </w:r>
            <w:r>
              <w:t xml:space="preserve">complex, disrupting </w:t>
            </w:r>
            <w:r w:rsidRPr="00D42F55">
              <w:t xml:space="preserve">the FA pathway. As a result, DNA damage is not repaired efficiently and </w:t>
            </w:r>
            <w:r>
              <w:t>inter-strand cross-links</w:t>
            </w:r>
            <w:r w:rsidRPr="00D42F55">
              <w:t xml:space="preserve"> build up</w:t>
            </w:r>
            <w:r>
              <w:t xml:space="preserve">, </w:t>
            </w:r>
            <w:r w:rsidRPr="00D42F55">
              <w:t>stall</w:t>
            </w:r>
            <w:r>
              <w:t>ing</w:t>
            </w:r>
            <w:r w:rsidRPr="00D42F55">
              <w:t xml:space="preserve"> DNA </w:t>
            </w:r>
            <w:r w:rsidRPr="00D42F55">
              <w:lastRenderedPageBreak/>
              <w:t>replication</w:t>
            </w:r>
            <w:r>
              <w:t xml:space="preserve">. This </w:t>
            </w:r>
            <w:r w:rsidRPr="00D42F55">
              <w:t>ultimately result</w:t>
            </w:r>
            <w:r>
              <w:t>s</w:t>
            </w:r>
            <w:r w:rsidRPr="00D42F55">
              <w:t xml:space="preserve"> in</w:t>
            </w:r>
            <w:r>
              <w:t xml:space="preserve"> </w:t>
            </w:r>
            <w:r>
              <w:br/>
            </w:r>
            <w:proofErr w:type="spellStart"/>
            <w:r>
              <w:t>i</w:t>
            </w:r>
            <w:proofErr w:type="spellEnd"/>
            <w:r>
              <w:t xml:space="preserve">) </w:t>
            </w:r>
            <w:r w:rsidRPr="00D42F55">
              <w:t>abnormal cell death due to an inability make new DNA molecules</w:t>
            </w:r>
            <w:r>
              <w:t xml:space="preserve">. </w:t>
            </w:r>
            <w:r w:rsidRPr="00D42F55">
              <w:t xml:space="preserve">Cells that are particularly affected </w:t>
            </w:r>
            <w:r>
              <w:t xml:space="preserve">are those that </w:t>
            </w:r>
            <w:r w:rsidRPr="00D42F55">
              <w:t xml:space="preserve">divide quickly, such as bone marrow cells and cells of the developing </w:t>
            </w:r>
            <w:proofErr w:type="spellStart"/>
            <w:r w:rsidRPr="00D42F55">
              <w:t>fetus</w:t>
            </w:r>
            <w:proofErr w:type="spellEnd"/>
            <w:r w:rsidRPr="00D42F55">
              <w:t>. The death of these cells results in the decrease in blood cells and the physical abnormalities characteristic of F</w:t>
            </w:r>
            <w:r>
              <w:t>A;</w:t>
            </w:r>
            <w:r w:rsidR="00E90162">
              <w:t xml:space="preserve"> </w:t>
            </w:r>
            <w:r w:rsidRPr="00D42F55">
              <w:t xml:space="preserve">or </w:t>
            </w:r>
          </w:p>
          <w:p w14:paraId="20D96DC5" w14:textId="77777777" w:rsidR="003B2EF3" w:rsidRPr="00FA4A2E" w:rsidRDefault="003B2EF3" w:rsidP="00024485">
            <w:pPr>
              <w:pStyle w:val="Tabletext"/>
            </w:pPr>
            <w:r>
              <w:t xml:space="preserve">ii) </w:t>
            </w:r>
            <w:r w:rsidRPr="00D42F55">
              <w:t xml:space="preserve">uncontrolled cell growth due to a lack of DNA repair processes. </w:t>
            </w:r>
            <w:r>
              <w:t>Th</w:t>
            </w:r>
            <w:r w:rsidRPr="00D42F55">
              <w:t>e build</w:t>
            </w:r>
            <w:r>
              <w:t>-</w:t>
            </w:r>
            <w:r w:rsidRPr="00D42F55">
              <w:t xml:space="preserve">up of errors in DNA leads to uncontrolled cell growth, </w:t>
            </w:r>
            <w:r>
              <w:t xml:space="preserve">with </w:t>
            </w:r>
            <w:r w:rsidRPr="00D42F55">
              <w:t>affected individuals develop</w:t>
            </w:r>
            <w:r>
              <w:t>ing</w:t>
            </w:r>
            <w:r w:rsidRPr="00D42F55">
              <w:t xml:space="preserve"> acute myeloid leukaemia or other cancers</w:t>
            </w:r>
            <w:r>
              <w:t xml:space="preserve">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r>
              <w:t>.</w:t>
            </w:r>
          </w:p>
        </w:tc>
        <w:tc>
          <w:tcPr>
            <w:tcW w:w="1016" w:type="pct"/>
            <w:tcBorders>
              <w:top w:val="single" w:sz="4" w:space="0" w:color="auto"/>
              <w:bottom w:val="single" w:sz="4" w:space="0" w:color="auto"/>
            </w:tcBorders>
          </w:tcPr>
          <w:p w14:paraId="5054D7F6" w14:textId="77777777" w:rsidR="003B2EF3" w:rsidRPr="000C0D02" w:rsidRDefault="003B2EF3" w:rsidP="00024485">
            <w:pPr>
              <w:pStyle w:val="Tabletext"/>
            </w:pPr>
            <w:r w:rsidRPr="000C0D02">
              <w:lastRenderedPageBreak/>
              <w:t>Treatment</w:t>
            </w:r>
            <w:r>
              <w:t xml:space="preserve">s </w:t>
            </w:r>
            <w:r w:rsidRPr="000C0D02">
              <w:t>have potential significant toxicity</w:t>
            </w:r>
            <w:r>
              <w:t>:</w:t>
            </w:r>
            <w:r w:rsidRPr="000C0D02">
              <w:t xml:space="preserve"> oral androgens improve blood counts in approximately 50% of individuals with FA; administration of </w:t>
            </w:r>
            <w:bookmarkStart w:id="16" w:name="_Hlk76560809"/>
            <w:r w:rsidRPr="000C0D02">
              <w:t xml:space="preserve">G-CSF </w:t>
            </w:r>
            <w:bookmarkEnd w:id="16"/>
            <w:r w:rsidRPr="000C0D02">
              <w:t>improves the neutrophil count in some; h</w:t>
            </w:r>
            <w:r>
              <w:t>a</w:t>
            </w:r>
            <w:r w:rsidRPr="000C0D02">
              <w:t>ematopoietic stem cell transplantation is the only curative therapy for the h</w:t>
            </w:r>
            <w:r>
              <w:t>a</w:t>
            </w:r>
            <w:r w:rsidRPr="000C0D02">
              <w:t xml:space="preserve">ematologic manifestations of FA, but the high risk for solid tumours remains and may increase in those undergoing </w:t>
            </w:r>
            <w:bookmarkStart w:id="17" w:name="_Hlk76560822"/>
            <w:r w:rsidRPr="000C0D02">
              <w:t>HSCT</w:t>
            </w:r>
            <w:bookmarkEnd w:id="17"/>
            <w:r w:rsidRPr="000C0D02">
              <w:t>.</w:t>
            </w:r>
          </w:p>
          <w:p w14:paraId="61EDD773" w14:textId="352DAD10" w:rsidR="003B2EF3" w:rsidRPr="000C0D02" w:rsidRDefault="003B2EF3" w:rsidP="00024485">
            <w:pPr>
              <w:pStyle w:val="Tabletext"/>
            </w:pPr>
            <w:r w:rsidRPr="000C0D02">
              <w:t xml:space="preserve">Surveillance: </w:t>
            </w:r>
            <w:r>
              <w:t>a</w:t>
            </w:r>
            <w:r w:rsidRPr="000C0D02">
              <w:t xml:space="preserve">nnual evaluation </w:t>
            </w:r>
            <w:r>
              <w:t xml:space="preserve">by </w:t>
            </w:r>
            <w:r w:rsidRPr="000C0D02">
              <w:t xml:space="preserve">endocrinologist; regular blood counts; at least annual bone marrow aspirate/biopsy to evaluate morphology, cellularity, and cytogenetics; for those receiving androgen therapy, monitoring liver function tests and regular </w:t>
            </w:r>
            <w:r w:rsidR="00596D38">
              <w:t>ultrasound</w:t>
            </w:r>
            <w:r w:rsidRPr="000C0D02">
              <w:t xml:space="preserve"> of liver; monitoring for solid tumours.</w:t>
            </w:r>
          </w:p>
          <w:p w14:paraId="7C6F43DF" w14:textId="77777777" w:rsidR="003B2EF3" w:rsidRPr="00FA4A2E" w:rsidRDefault="003B2EF3" w:rsidP="00024485">
            <w:pPr>
              <w:pStyle w:val="Tabletext"/>
            </w:pPr>
            <w:r w:rsidRPr="000C0D02">
              <w:t>Avoid</w:t>
            </w:r>
            <w:r>
              <w:t xml:space="preserve"> t</w:t>
            </w:r>
            <w:r w:rsidRPr="000C0D02">
              <w:t xml:space="preserve">ransfusions of red cells or platelets for persons who are candidates for HSCT; family members </w:t>
            </w:r>
            <w:r w:rsidRPr="000C0D02">
              <w:lastRenderedPageBreak/>
              <w:t>as blood donors if HSCT is being considered; blood products that are not leuko</w:t>
            </w:r>
            <w:r>
              <w:t>-</w:t>
            </w:r>
            <w:r w:rsidRPr="000C0D02">
              <w:t>depleted or irradiated; toxic agents that have been implicated in tumo</w:t>
            </w:r>
            <w:r>
              <w:t>r</w:t>
            </w:r>
            <w:r w:rsidRPr="000C0D02">
              <w:t>igenesis; unsafe sex practices, which increase the risk of HPV-associated malignancy; radiographic studies in the absence of clinical indications</w:t>
            </w:r>
            <w:r>
              <w:t xml:space="preserve"> </w:t>
            </w:r>
            <w:r>
              <w:fldChar w:fldCharType="begin"/>
            </w:r>
            <w:r>
              <w:instrText xml:space="preserve"> ADDIN EN.CITE &lt;EndNote&gt;&lt;Cite&gt;&lt;Author&gt;Mehta&lt;/Author&gt;&lt;Year&gt;2018&lt;/Year&gt;&lt;RecNum&gt;57&lt;/RecNum&gt;&lt;DisplayText&gt;(Mehta &amp;amp; Tolar, 2018)&lt;/DisplayText&gt;&lt;record&gt;&lt;rec-number&gt;57&lt;/rec-number&gt;&lt;foreign-keys&gt;&lt;key app="EN" db-id="tvd2x2aeprp90te22eox9tvxfe2a0xv0tdfs" timestamp="1623373160"&gt;57&lt;/key&gt;&lt;/foreign-keys&gt;&lt;ref-type name="Web Page"&gt;12&lt;/ref-type&gt;&lt;contributors&gt;&lt;authors&gt;&lt;author&gt;Mehta, P.A.&lt;/author&gt;&lt;author&gt;Tolar, J.&lt;/author&gt;&lt;/authors&gt;&lt;secondary-authors&gt;&lt;author&gt;Adam, M.P.&lt;/author&gt;&lt;author&gt;Ardinger, H.H.&lt;/author&gt;&lt;author&gt;Pagon, R.A.&lt;/author&gt;&lt;/secondary-authors&gt;&lt;/contributors&gt;&lt;titles&gt;&lt;title&gt;Fanconi Anemia&lt;/title&gt;&lt;secondary-title&gt;GeneReviews®&lt;/secondary-title&gt;&lt;/titles&gt;&lt;volume&gt;2020&lt;/volume&gt;&lt;number&gt;25th August&lt;/number&gt;&lt;dates&gt;&lt;year&gt;2018&lt;/year&gt;&lt;/dates&gt;&lt;pub-location&gt;Seattle&lt;/pub-location&gt;&lt;publisher&gt;University of Washington&lt;/publisher&gt;&lt;urls&gt;&lt;related-urls&gt;&lt;url&gt;https://www.ncbi.nlm.nih.gov/books/NBK1401/&lt;/url&gt;&lt;/related-urls&gt;&lt;/urls&gt;&lt;/record&gt;&lt;/Cite&gt;&lt;/EndNote&gt;</w:instrText>
            </w:r>
            <w:r>
              <w:fldChar w:fldCharType="separate"/>
            </w:r>
            <w:r>
              <w:rPr>
                <w:noProof/>
              </w:rPr>
              <w:t>(Mehta &amp; Tolar, 2018)</w:t>
            </w:r>
            <w:r>
              <w:fldChar w:fldCharType="end"/>
            </w:r>
            <w:r>
              <w:t>.</w:t>
            </w:r>
          </w:p>
        </w:tc>
        <w:tc>
          <w:tcPr>
            <w:tcW w:w="674" w:type="pct"/>
            <w:tcBorders>
              <w:top w:val="single" w:sz="4" w:space="0" w:color="auto"/>
              <w:bottom w:val="single" w:sz="4" w:space="0" w:color="auto"/>
            </w:tcBorders>
          </w:tcPr>
          <w:p w14:paraId="538BADD5" w14:textId="77777777" w:rsidR="003B2EF3" w:rsidRDefault="003B2EF3" w:rsidP="00024485">
            <w:pPr>
              <w:pStyle w:val="Tabletext"/>
            </w:pPr>
            <w:r w:rsidRPr="0025628E">
              <w:rPr>
                <w:bCs/>
              </w:rPr>
              <w:lastRenderedPageBreak/>
              <w:t>Prevalence</w:t>
            </w:r>
            <w:r>
              <w:br/>
            </w:r>
            <w:r w:rsidRPr="00EC17D2">
              <w:t>1:160,000</w:t>
            </w:r>
            <w:r>
              <w:t xml:space="preserve"> </w:t>
            </w:r>
            <w:r>
              <w:fldChar w:fldCharType="begin"/>
            </w:r>
            <w:r>
              <w:instrText xml:space="preserve"> ADDIN EN.CITE &lt;EndNote&gt;&lt;Cite&gt;&lt;Author&gt;NIH&lt;/Author&gt;&lt;Year&gt;2012&lt;/Year&gt;&lt;RecNum&gt;56&lt;/RecNum&gt;&lt;DisplayText&gt;(NIH, 2012a)&lt;/DisplayText&gt;&lt;record&gt;&lt;rec-number&gt;56&lt;/rec-number&gt;&lt;foreign-keys&gt;&lt;key app="EN" db-id="tvd2x2aeprp90te22eox9tvxfe2a0xv0tdfs" timestamp="1623373159"&gt;56&lt;/key&gt;&lt;/foreign-keys&gt;&lt;ref-type name="Web Page"&gt;12&lt;/ref-type&gt;&lt;contributors&gt;&lt;authors&gt;&lt;author&gt;NIH&lt;/author&gt;&lt;/authors&gt;&lt;/contributors&gt;&lt;titles&gt;&lt;title&gt;Fanconi anemia&lt;/title&gt;&lt;secondary-title&gt;Genetics Home Reference&lt;/secondary-title&gt;&lt;/titles&gt;&lt;volume&gt;2020&lt;/volume&gt;&lt;number&gt;18th August&lt;/number&gt;&lt;dates&gt;&lt;year&gt;2012&lt;/year&gt;&lt;/dates&gt;&lt;pub-location&gt;Bethesda, Maryland, USA&lt;/pub-location&gt;&lt;publisher&gt;U.S. National Institutes of Health and National Library of Medicine&lt;/publisher&gt;&lt;urls&gt;&lt;related-urls&gt;&lt;url&gt;https://ghr.nlm.nih.gov/condition/fanconi-anemia&lt;/url&gt;&lt;/related-urls&gt;&lt;/urls&gt;&lt;/record&gt;&lt;/Cite&gt;&lt;/EndNote&gt;</w:instrText>
            </w:r>
            <w:r>
              <w:fldChar w:fldCharType="separate"/>
            </w:r>
            <w:r>
              <w:rPr>
                <w:noProof/>
              </w:rPr>
              <w:t>(NIH, 2012a)</w:t>
            </w:r>
            <w:r>
              <w:fldChar w:fldCharType="end"/>
            </w:r>
          </w:p>
          <w:p w14:paraId="3098ACE8" w14:textId="77777777" w:rsidR="003B2EF3" w:rsidRPr="00FA4A2E" w:rsidRDefault="003B2EF3" w:rsidP="00024485">
            <w:pPr>
              <w:pStyle w:val="Tabletext"/>
            </w:pPr>
            <w:r w:rsidRPr="009C6707">
              <w:rPr>
                <w:bCs/>
              </w:rPr>
              <w:t>Carrier frequency</w:t>
            </w:r>
            <w:r>
              <w:rPr>
                <w:bCs/>
              </w:rPr>
              <w:br/>
            </w:r>
            <w:r>
              <w:t xml:space="preserve">1:80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p>
        </w:tc>
        <w:tc>
          <w:tcPr>
            <w:tcW w:w="1126" w:type="pct"/>
            <w:tcBorders>
              <w:top w:val="single" w:sz="4" w:space="0" w:color="auto"/>
              <w:bottom w:val="single" w:sz="4" w:space="0" w:color="auto"/>
            </w:tcBorders>
          </w:tcPr>
          <w:p w14:paraId="6C2E02AA" w14:textId="77777777" w:rsidR="003B2EF3" w:rsidRDefault="003B2EF3" w:rsidP="00024485">
            <w:pPr>
              <w:pStyle w:val="Tabletext"/>
            </w:pPr>
            <w:r w:rsidRPr="00775D1D">
              <w:rPr>
                <w:i/>
                <w:iCs/>
              </w:rPr>
              <w:t>FANCA</w:t>
            </w:r>
            <w:r>
              <w:br/>
            </w:r>
            <w:r w:rsidRPr="00775D1D">
              <w:t>16q24.3</w:t>
            </w:r>
          </w:p>
          <w:p w14:paraId="3C29316A" w14:textId="77777777" w:rsidR="003B2EF3" w:rsidRDefault="003B2EF3" w:rsidP="00024485">
            <w:pPr>
              <w:pStyle w:val="Tabletext"/>
            </w:pPr>
            <w:r w:rsidRPr="00775D1D">
              <w:rPr>
                <w:i/>
                <w:iCs/>
              </w:rPr>
              <w:t>FANCB</w:t>
            </w:r>
            <w:r>
              <w:br/>
            </w:r>
            <w:r w:rsidRPr="00775D1D">
              <w:t>Xp22.2</w:t>
            </w:r>
          </w:p>
          <w:p w14:paraId="13597A84" w14:textId="77777777" w:rsidR="003B2EF3" w:rsidRDefault="003B2EF3" w:rsidP="00024485">
            <w:pPr>
              <w:pStyle w:val="Tabletext"/>
            </w:pPr>
            <w:r w:rsidRPr="00775D1D">
              <w:rPr>
                <w:i/>
                <w:iCs/>
              </w:rPr>
              <w:t>FANCC</w:t>
            </w:r>
            <w:r>
              <w:br/>
            </w:r>
            <w:r w:rsidRPr="00775D1D">
              <w:t>9q22.32</w:t>
            </w:r>
          </w:p>
          <w:p w14:paraId="6ABDC69C" w14:textId="77777777" w:rsidR="003B2EF3" w:rsidRDefault="003B2EF3" w:rsidP="00024485">
            <w:pPr>
              <w:pStyle w:val="Tabletext"/>
            </w:pPr>
            <w:r w:rsidRPr="00775D1D">
              <w:rPr>
                <w:i/>
                <w:iCs/>
              </w:rPr>
              <w:t>FANCD2</w:t>
            </w:r>
            <w:r>
              <w:br/>
            </w:r>
            <w:r w:rsidRPr="00775D1D">
              <w:t>3p25.3</w:t>
            </w:r>
          </w:p>
          <w:p w14:paraId="0D793268" w14:textId="77777777" w:rsidR="003B2EF3" w:rsidRDefault="003B2EF3" w:rsidP="00024485">
            <w:pPr>
              <w:pStyle w:val="Tabletext"/>
            </w:pPr>
            <w:r w:rsidRPr="00775D1D">
              <w:rPr>
                <w:i/>
                <w:iCs/>
              </w:rPr>
              <w:t>FANCE</w:t>
            </w:r>
            <w:r>
              <w:br/>
            </w:r>
            <w:r w:rsidRPr="00775D1D">
              <w:t>6p21.31</w:t>
            </w:r>
          </w:p>
          <w:p w14:paraId="7D8F6A30" w14:textId="77777777" w:rsidR="003B2EF3" w:rsidRDefault="003B2EF3" w:rsidP="00024485">
            <w:pPr>
              <w:pStyle w:val="Tabletext"/>
            </w:pPr>
            <w:r w:rsidRPr="00775D1D">
              <w:rPr>
                <w:i/>
                <w:iCs/>
              </w:rPr>
              <w:t>FANCF</w:t>
            </w:r>
            <w:r>
              <w:br/>
            </w:r>
            <w:r w:rsidRPr="00775D1D">
              <w:t>11p14.3</w:t>
            </w:r>
          </w:p>
          <w:p w14:paraId="01E9AC4D" w14:textId="77777777" w:rsidR="003B2EF3" w:rsidRDefault="003B2EF3" w:rsidP="00024485">
            <w:pPr>
              <w:pStyle w:val="Tabletext"/>
            </w:pPr>
            <w:r w:rsidRPr="00775D1D">
              <w:rPr>
                <w:i/>
                <w:iCs/>
              </w:rPr>
              <w:t>FANCG</w:t>
            </w:r>
            <w:r>
              <w:br/>
            </w:r>
            <w:r w:rsidRPr="00775D1D">
              <w:t>9p13.3</w:t>
            </w:r>
          </w:p>
          <w:p w14:paraId="7C83B8FF" w14:textId="77777777" w:rsidR="003B2EF3" w:rsidRDefault="003B2EF3" w:rsidP="00024485">
            <w:pPr>
              <w:pStyle w:val="Tabletext"/>
            </w:pPr>
            <w:r w:rsidRPr="00775D1D">
              <w:rPr>
                <w:i/>
                <w:iCs/>
              </w:rPr>
              <w:t>FANCI</w:t>
            </w:r>
            <w:r>
              <w:br/>
            </w:r>
            <w:r w:rsidRPr="00775D1D">
              <w:t>15q26.1</w:t>
            </w:r>
          </w:p>
          <w:p w14:paraId="645D033A" w14:textId="77777777" w:rsidR="003B2EF3" w:rsidRDefault="003B2EF3" w:rsidP="00024485">
            <w:pPr>
              <w:pStyle w:val="Tabletext"/>
            </w:pPr>
            <w:r w:rsidRPr="00775D1D">
              <w:rPr>
                <w:i/>
                <w:iCs/>
              </w:rPr>
              <w:t>FANCL</w:t>
            </w:r>
            <w:r>
              <w:br/>
            </w:r>
            <w:r w:rsidRPr="00775D1D">
              <w:t>2p16.1</w:t>
            </w:r>
          </w:p>
          <w:p w14:paraId="5F51AAE6" w14:textId="77777777" w:rsidR="003B2EF3" w:rsidRDefault="003B2EF3" w:rsidP="00024485">
            <w:pPr>
              <w:pStyle w:val="Tabletext"/>
            </w:pPr>
            <w:r w:rsidRPr="00775D1D">
              <w:rPr>
                <w:i/>
                <w:iCs/>
              </w:rPr>
              <w:t>FANCM</w:t>
            </w:r>
            <w:r>
              <w:br/>
            </w:r>
            <w:r w:rsidRPr="00775D1D">
              <w:t>14q21.2</w:t>
            </w:r>
            <w:r>
              <w:t xml:space="preserve"> </w:t>
            </w:r>
            <w:r>
              <w:fldChar w:fldCharType="begin"/>
            </w:r>
            <w:r>
              <w:instrText xml:space="preserve"> ADDIN EN.CITE &lt;EndNote&gt;&lt;Cite&gt;&lt;Author&gt;Mehta&lt;/Author&gt;&lt;Year&gt;2018&lt;/Year&gt;&lt;RecNum&gt;57&lt;/RecNum&gt;&lt;DisplayText&gt;(Mehta &amp;amp; Tolar, 2018)&lt;/DisplayText&gt;&lt;record&gt;&lt;rec-number&gt;57&lt;/rec-number&gt;&lt;foreign-keys&gt;&lt;key app="EN" db-id="tvd2x2aeprp90te22eox9tvxfe2a0xv0tdfs" timestamp="1623373160"&gt;57&lt;/key&gt;&lt;/foreign-keys&gt;&lt;ref-type name="Web Page"&gt;12&lt;/ref-type&gt;&lt;contributors&gt;&lt;authors&gt;&lt;author&gt;Mehta, P.A.&lt;/author&gt;&lt;author&gt;Tolar, J.&lt;/author&gt;&lt;/authors&gt;&lt;secondary-authors&gt;&lt;author&gt;Adam, M.P.&lt;/author&gt;&lt;author&gt;Ardinger, H.H.&lt;/author&gt;&lt;author&gt;Pagon, R.A.&lt;/author&gt;&lt;/secondary-authors&gt;&lt;/contributors&gt;&lt;titles&gt;&lt;title&gt;Fanconi Anemia&lt;/title&gt;&lt;secondary-title&gt;GeneReviews®&lt;/secondary-title&gt;&lt;/titles&gt;&lt;volume&gt;2020&lt;/volume&gt;&lt;number&gt;25th August&lt;/number&gt;&lt;dates&gt;&lt;year&gt;2018&lt;/year&gt;&lt;/dates&gt;&lt;pub-location&gt;Seattle&lt;/pub-location&gt;&lt;publisher&gt;University of Washington&lt;/publisher&gt;&lt;urls&gt;&lt;related-urls&gt;&lt;url&gt;https://www.ncbi.nlm.nih.gov/books/NBK1401/&lt;/url&gt;&lt;/related-urls&gt;&lt;/urls&gt;&lt;/record&gt;&lt;/Cite&gt;&lt;/EndNote&gt;</w:instrText>
            </w:r>
            <w:r>
              <w:fldChar w:fldCharType="separate"/>
            </w:r>
            <w:r>
              <w:rPr>
                <w:noProof/>
              </w:rPr>
              <w:t>(Mehta &amp; Tolar, 2018)</w:t>
            </w:r>
            <w:r>
              <w:fldChar w:fldCharType="end"/>
            </w:r>
          </w:p>
          <w:p w14:paraId="5B1629CC" w14:textId="77777777" w:rsidR="003B2EF3" w:rsidRPr="00132ECC" w:rsidRDefault="003B2EF3" w:rsidP="00024485">
            <w:pPr>
              <w:pStyle w:val="Tabletext"/>
            </w:pPr>
            <w:r>
              <w:t>Note that many current diagnostic tests only examine for</w:t>
            </w:r>
            <w:r w:rsidRPr="00596D38">
              <w:rPr>
                <w:i/>
                <w:iCs/>
              </w:rPr>
              <w:t xml:space="preserve"> FANCC</w:t>
            </w:r>
          </w:p>
        </w:tc>
      </w:tr>
      <w:tr w:rsidR="003B2EF3" w:rsidRPr="00E82F54" w14:paraId="7C679BD2" w14:textId="77777777" w:rsidTr="007C3C21">
        <w:tc>
          <w:tcPr>
            <w:tcW w:w="498" w:type="pct"/>
            <w:tcBorders>
              <w:top w:val="single" w:sz="4" w:space="0" w:color="auto"/>
              <w:bottom w:val="single" w:sz="4" w:space="0" w:color="auto"/>
            </w:tcBorders>
          </w:tcPr>
          <w:p w14:paraId="6414057B" w14:textId="5CF0132E" w:rsidR="003B2EF3" w:rsidRDefault="003B2EF3" w:rsidP="00024485">
            <w:pPr>
              <w:pStyle w:val="Tabletext"/>
            </w:pPr>
            <w:r w:rsidRPr="00F503C6">
              <w:t xml:space="preserve">Gaucher disease </w:t>
            </w:r>
            <w:r>
              <w:t>(GD)</w:t>
            </w:r>
            <w:r w:rsidR="00112A40">
              <w:t xml:space="preserve"> Type 1</w:t>
            </w:r>
          </w:p>
          <w:p w14:paraId="6F233133" w14:textId="748E47FC" w:rsidR="003B2EF3" w:rsidRPr="00F503C6" w:rsidRDefault="003B2EF3" w:rsidP="00024485">
            <w:pPr>
              <w:pStyle w:val="Tabletext"/>
            </w:pPr>
            <w:r w:rsidRPr="002C5094">
              <w:t>Note: Carrier testing for GD is not routinely included in all carrier testing programs</w:t>
            </w:r>
          </w:p>
        </w:tc>
        <w:tc>
          <w:tcPr>
            <w:tcW w:w="822" w:type="pct"/>
            <w:tcBorders>
              <w:top w:val="single" w:sz="4" w:space="0" w:color="auto"/>
              <w:bottom w:val="single" w:sz="4" w:space="0" w:color="auto"/>
            </w:tcBorders>
          </w:tcPr>
          <w:p w14:paraId="3423527C" w14:textId="77777777" w:rsidR="003B2EF3" w:rsidRDefault="003B2EF3" w:rsidP="00024485">
            <w:pPr>
              <w:pStyle w:val="Tabletext"/>
            </w:pPr>
            <w:r>
              <w:t xml:space="preserve">GD varies in clinical presentation; however, it </w:t>
            </w:r>
            <w:r w:rsidRPr="00F97162">
              <w:t>is characteri</w:t>
            </w:r>
            <w:r>
              <w:t>s</w:t>
            </w:r>
            <w:r w:rsidRPr="00F97162">
              <w:t>ed by hepatosplenomegaly, cytopenia, sometimes severe bone</w:t>
            </w:r>
            <w:r>
              <w:t xml:space="preserve"> </w:t>
            </w:r>
            <w:r w:rsidRPr="00F97162">
              <w:t xml:space="preserve">involvement and, in </w:t>
            </w:r>
            <w:r>
              <w:t>some</w:t>
            </w:r>
            <w:r w:rsidRPr="00F97162">
              <w:t xml:space="preserve"> forms, neurological impairment. </w:t>
            </w:r>
          </w:p>
          <w:p w14:paraId="4A203AAF" w14:textId="77777777" w:rsidR="003B2EF3" w:rsidRDefault="003B2EF3" w:rsidP="00024485">
            <w:pPr>
              <w:pStyle w:val="Tabletext"/>
            </w:pPr>
            <w:r>
              <w:t xml:space="preserve">The </w:t>
            </w:r>
            <w:r w:rsidRPr="00F97162">
              <w:t>clinical</w:t>
            </w:r>
            <w:r>
              <w:t xml:space="preserve"> </w:t>
            </w:r>
            <w:r w:rsidRPr="00F97162">
              <w:t xml:space="preserve">presentation </w:t>
            </w:r>
            <w:r>
              <w:t xml:space="preserve">of type 1 </w:t>
            </w:r>
            <w:r w:rsidRPr="00F97162">
              <w:t>is variable, ranging from asymptomatic throughout life to early-onset forms presenting</w:t>
            </w:r>
            <w:r>
              <w:t xml:space="preserve"> </w:t>
            </w:r>
            <w:r w:rsidRPr="00F97162">
              <w:t xml:space="preserve">in childhood. </w:t>
            </w:r>
            <w:r>
              <w:t>I</w:t>
            </w:r>
            <w:r w:rsidRPr="00F97162">
              <w:t xml:space="preserve">nitial symptoms vary considerably, and patients </w:t>
            </w:r>
            <w:r w:rsidRPr="00F97162">
              <w:lastRenderedPageBreak/>
              <w:t>can be diagnosed at any age</w:t>
            </w:r>
            <w:r>
              <w:t xml:space="preserve">. Fatigue, </w:t>
            </w:r>
            <w:r w:rsidRPr="00F97162">
              <w:t>growth retardation and delayed puberty are common</w:t>
            </w:r>
            <w:r>
              <w:t xml:space="preserve">. </w:t>
            </w:r>
            <w:r w:rsidRPr="00F97162">
              <w:t>Splenomegaly</w:t>
            </w:r>
            <w:r>
              <w:t xml:space="preserve">, </w:t>
            </w:r>
            <w:proofErr w:type="gramStart"/>
            <w:r>
              <w:t>h</w:t>
            </w:r>
            <w:r w:rsidRPr="00506DD4">
              <w:t>epatomegaly</w:t>
            </w:r>
            <w:proofErr w:type="gramEnd"/>
            <w:r>
              <w:t xml:space="preserve"> and </w:t>
            </w:r>
            <w:r w:rsidRPr="00506DD4">
              <w:t>thrombocytopenia</w:t>
            </w:r>
            <w:r>
              <w:t xml:space="preserve"> </w:t>
            </w:r>
            <w:r w:rsidRPr="00F97162">
              <w:t xml:space="preserve">is observed in </w:t>
            </w:r>
            <w:r>
              <w:t>&gt;</w:t>
            </w:r>
            <w:r w:rsidRPr="00F97162">
              <w:t xml:space="preserve"> 90%</w:t>
            </w:r>
            <w:r>
              <w:t xml:space="preserve">, </w:t>
            </w:r>
            <w:r w:rsidRPr="00506DD4">
              <w:t xml:space="preserve">60–80% </w:t>
            </w:r>
            <w:r>
              <w:t xml:space="preserve">and 60-90% </w:t>
            </w:r>
            <w:r w:rsidRPr="00506DD4">
              <w:t>of patients</w:t>
            </w:r>
            <w:r>
              <w:t xml:space="preserve">, respectively </w: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Pr>
                <w:noProof/>
              </w:rPr>
              <w:t>(Stirnemann et al., 2017)</w:t>
            </w:r>
            <w:r>
              <w:fldChar w:fldCharType="end"/>
            </w:r>
            <w:r>
              <w:t>.</w:t>
            </w:r>
          </w:p>
          <w:p w14:paraId="51782B08" w14:textId="77777777" w:rsidR="003B2EF3" w:rsidRPr="00FA4A2E" w:rsidRDefault="003B2EF3" w:rsidP="00024485">
            <w:pPr>
              <w:pStyle w:val="Tabletext"/>
            </w:pPr>
            <w:r w:rsidRPr="003907A8">
              <w:t>GD type 2 and 3 are characteri</w:t>
            </w:r>
            <w:r>
              <w:t>s</w:t>
            </w:r>
            <w:r w:rsidRPr="003907A8">
              <w:t>ed by the presence of primary neurologic disease.</w:t>
            </w:r>
            <w:r>
              <w:t xml:space="preserve"> </w:t>
            </w:r>
            <w:r w:rsidRPr="003907A8">
              <w:t>GD type 2</w:t>
            </w:r>
            <w:r>
              <w:t>:</w:t>
            </w:r>
            <w:r w:rsidRPr="003907A8">
              <w:t xml:space="preserve"> onset before age </w:t>
            </w:r>
            <w:r>
              <w:t>2 years</w:t>
            </w:r>
            <w:r w:rsidRPr="003907A8">
              <w:t xml:space="preserve">, limited psychomotor development, and a rapidly progressive course with death by age </w:t>
            </w:r>
            <w:r>
              <w:t>2-4</w:t>
            </w:r>
            <w:r w:rsidRPr="003907A8">
              <w:t xml:space="preserve"> years.</w:t>
            </w:r>
            <w:r>
              <w:t xml:space="preserve"> </w:t>
            </w:r>
            <w:r w:rsidRPr="003907A8">
              <w:t>GD type 3</w:t>
            </w:r>
            <w:r>
              <w:t>:</w:t>
            </w:r>
            <w:r w:rsidRPr="003907A8">
              <w:t xml:space="preserve"> onset before age </w:t>
            </w:r>
            <w:r>
              <w:t xml:space="preserve">2 </w:t>
            </w:r>
            <w:r w:rsidRPr="003907A8">
              <w:t>years</w:t>
            </w:r>
            <w:r>
              <w:t xml:space="preserve"> with slower progression and </w:t>
            </w:r>
            <w:r w:rsidRPr="003907A8">
              <w:t>survival into the third or fourth decade</w:t>
            </w:r>
            <w:r>
              <w:t xml:space="preserve"> </w:t>
            </w:r>
            <w:r>
              <w:fldChar w:fldCharType="begin"/>
            </w:r>
            <w:r>
              <w:instrText xml:space="preserve"> ADDIN EN.CITE &lt;EndNote&gt;&lt;Cite&gt;&lt;Author&gt;Pastores&lt;/Author&gt;&lt;Year&gt;2018&lt;/Year&gt;&lt;RecNum&gt;59&lt;/RecNum&gt;&lt;DisplayText&gt;(Pastores &amp;amp; Hughes, 2018)&lt;/DisplayText&gt;&lt;record&gt;&lt;rec-number&gt;59&lt;/rec-number&gt;&lt;foreign-keys&gt;&lt;key app="EN" db-id="tvd2x2aeprp90te22eox9tvxfe2a0xv0tdfs" timestamp="1623373160"&gt;59&lt;/key&gt;&lt;/foreign-keys&gt;&lt;ref-type name="Web Page"&gt;12&lt;/ref-type&gt;&lt;contributors&gt;&lt;authors&gt;&lt;author&gt;Pastores, G.M.&lt;/author&gt;&lt;author&gt;Hughes, D.A.&lt;/author&gt;&lt;/authors&gt;&lt;secondary-authors&gt;&lt;author&gt;Adam, M.P.&lt;/author&gt;&lt;author&gt;Ardinger, H.H.&lt;/author&gt;&lt;author&gt;Pagon, R.A.&lt;/author&gt;&lt;/secondary-authors&gt;&lt;/contributors&gt;&lt;titles&gt;&lt;title&gt;Gaucher Disease&lt;/title&gt;&lt;secondary-title&gt;GeneReviews®&lt;/secondary-title&gt;&lt;/titles&gt;&lt;volume&gt;2020&lt;/volume&gt;&lt;number&gt;25th August&lt;/number&gt;&lt;dates&gt;&lt;year&gt;2018&lt;/year&gt;&lt;/dates&gt;&lt;pub-location&gt;Seattle&lt;/pub-location&gt;&lt;publisher&gt;University of Washington&lt;/publisher&gt;&lt;urls&gt;&lt;related-urls&gt;&lt;url&gt;https://www.ncbi.nlm.nih.gov/books/NBK1269/&lt;/url&gt;&lt;/related-urls&gt;&lt;/urls&gt;&lt;/record&gt;&lt;/Cite&gt;&lt;/EndNote&gt;</w:instrText>
            </w:r>
            <w:r>
              <w:fldChar w:fldCharType="separate"/>
            </w:r>
            <w:r>
              <w:rPr>
                <w:noProof/>
              </w:rPr>
              <w:t>(Pastores &amp; Hughes, 2018)</w:t>
            </w:r>
            <w:r>
              <w:fldChar w:fldCharType="end"/>
            </w:r>
            <w:r>
              <w:t>.</w:t>
            </w:r>
          </w:p>
        </w:tc>
        <w:tc>
          <w:tcPr>
            <w:tcW w:w="864" w:type="pct"/>
            <w:tcBorders>
              <w:top w:val="single" w:sz="4" w:space="0" w:color="auto"/>
              <w:bottom w:val="single" w:sz="4" w:space="0" w:color="auto"/>
            </w:tcBorders>
          </w:tcPr>
          <w:p w14:paraId="0A17BB7C" w14:textId="77777777" w:rsidR="003B2EF3" w:rsidRDefault="003B2EF3" w:rsidP="00024485">
            <w:pPr>
              <w:pStyle w:val="Tabletext"/>
            </w:pPr>
            <w:r w:rsidRPr="003949B3">
              <w:lastRenderedPageBreak/>
              <w:t xml:space="preserve">Autosomal recessive. </w:t>
            </w:r>
          </w:p>
          <w:p w14:paraId="4B8034E6" w14:textId="77777777" w:rsidR="003B2EF3" w:rsidRPr="00FA4A2E" w:rsidRDefault="003B2EF3" w:rsidP="00024485">
            <w:pPr>
              <w:pStyle w:val="Tabletext"/>
            </w:pPr>
            <w:r>
              <w:t xml:space="preserve">There are several types of GD, all </w:t>
            </w:r>
            <w:r w:rsidRPr="00FC4678">
              <w:t xml:space="preserve">caused by a mutation in the </w:t>
            </w:r>
            <w:bookmarkStart w:id="18" w:name="_Hlk76560710"/>
            <w:r w:rsidRPr="00FC4678">
              <w:t>beta-glucocerebrosidase (</w:t>
            </w:r>
            <w:r w:rsidRPr="00FC4678">
              <w:rPr>
                <w:rStyle w:val="Emphasis"/>
              </w:rPr>
              <w:t>GBA</w:t>
            </w:r>
            <w:r w:rsidRPr="00FC4678">
              <w:t xml:space="preserve">) </w:t>
            </w:r>
            <w:bookmarkEnd w:id="18"/>
            <w:r w:rsidRPr="00FC4678">
              <w:t>gene</w:t>
            </w:r>
            <w:r>
              <w:t xml:space="preserve">, </w:t>
            </w:r>
            <w:r w:rsidRPr="00FC4678">
              <w:t>categorised</w:t>
            </w:r>
            <w:r>
              <w:t xml:space="preserve"> by the </w:t>
            </w:r>
            <w:r w:rsidRPr="00FC4678">
              <w:t>absence (type 1</w:t>
            </w:r>
            <w:r>
              <w:t>, most common</w:t>
            </w:r>
            <w:r w:rsidRPr="00FC4678">
              <w:t xml:space="preserve">) or presence (types 2 </w:t>
            </w:r>
            <w:r>
              <w:t>&amp;</w:t>
            </w:r>
            <w:r w:rsidRPr="00FC4678">
              <w:t xml:space="preserve"> 3) of neurological </w:t>
            </w:r>
            <w:r>
              <w:t xml:space="preserve">impairment. These variants result in the </w:t>
            </w:r>
            <w:r w:rsidRPr="006D419F">
              <w:t>decreased activity of the lysosomal enzyme</w:t>
            </w:r>
            <w:r>
              <w:t xml:space="preserve"> </w:t>
            </w:r>
            <w:r w:rsidRPr="006D419F">
              <w:t>glucocerebrosidase (</w:t>
            </w:r>
            <w:proofErr w:type="spellStart"/>
            <w:r w:rsidRPr="006D419F">
              <w:t>GCase</w:t>
            </w:r>
            <w:proofErr w:type="spellEnd"/>
            <w:r>
              <w:t>)</w:t>
            </w:r>
            <w:r w:rsidRPr="006D419F">
              <w:t>, which</w:t>
            </w:r>
            <w:r>
              <w:t xml:space="preserve"> </w:t>
            </w:r>
            <w:r w:rsidRPr="006D419F">
              <w:t>hydrolyses glucosylceramide into ceramide and glucose</w:t>
            </w:r>
            <w:r>
              <w:t xml:space="preserve">. A decrease in </w:t>
            </w:r>
            <w:proofErr w:type="spellStart"/>
            <w:r>
              <w:lastRenderedPageBreak/>
              <w:t>GCase</w:t>
            </w:r>
            <w:proofErr w:type="spellEnd"/>
            <w:r>
              <w:t xml:space="preserve"> leads to an accumulation of </w:t>
            </w:r>
            <w:r w:rsidRPr="00F97162">
              <w:t>glucosylceramid</w:t>
            </w:r>
            <w:r>
              <w:t xml:space="preserve">e in macrophages, transforming them into Gaucher cells, which then </w:t>
            </w:r>
            <w:r w:rsidRPr="00F97162">
              <w:t xml:space="preserve">infiltrate bone marrow, the spleen, </w:t>
            </w:r>
            <w:proofErr w:type="gramStart"/>
            <w:r w:rsidRPr="00F97162">
              <w:t>liver</w:t>
            </w:r>
            <w:proofErr w:type="gramEnd"/>
            <w:r>
              <w:t xml:space="preserve"> and other organs </w: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Pr>
                <w:noProof/>
              </w:rPr>
              <w:t>(Stirnemann et al., 2017)</w:t>
            </w:r>
            <w:r>
              <w:fldChar w:fldCharType="end"/>
            </w:r>
            <w:r>
              <w:t>.</w:t>
            </w:r>
          </w:p>
        </w:tc>
        <w:tc>
          <w:tcPr>
            <w:tcW w:w="1016" w:type="pct"/>
            <w:tcBorders>
              <w:top w:val="single" w:sz="4" w:space="0" w:color="auto"/>
              <w:bottom w:val="single" w:sz="4" w:space="0" w:color="auto"/>
            </w:tcBorders>
          </w:tcPr>
          <w:p w14:paraId="107A45E2" w14:textId="7C4C38C3" w:rsidR="003B2EF3" w:rsidRDefault="003B2EF3" w:rsidP="00024485">
            <w:pPr>
              <w:pStyle w:val="Tabletext"/>
            </w:pPr>
            <w:r w:rsidRPr="000F0E66">
              <w:lastRenderedPageBreak/>
              <w:t>All GD patients require regular monitoring</w:t>
            </w:r>
            <w:r>
              <w:t>.</w:t>
            </w:r>
            <w:r w:rsidRPr="000F0E66">
              <w:t xml:space="preserve"> </w:t>
            </w:r>
            <w:bookmarkStart w:id="19" w:name="_Hlk76560356"/>
            <w:r>
              <w:t>E</w:t>
            </w:r>
            <w:r w:rsidRPr="000F0E66">
              <w:t>nzyme replacement therapy (ERT) and substrate reduction</w:t>
            </w:r>
            <w:r>
              <w:t xml:space="preserve"> </w:t>
            </w:r>
            <w:r w:rsidRPr="000F0E66">
              <w:t>therapy (SRT</w:t>
            </w:r>
            <w:r>
              <w:t xml:space="preserve">) </w:t>
            </w:r>
            <w:bookmarkEnd w:id="19"/>
            <w:r>
              <w:t xml:space="preserve">are not </w:t>
            </w:r>
            <w:r w:rsidRPr="000F0E66">
              <w:t>justified in all</w:t>
            </w:r>
            <w:r>
              <w:t xml:space="preserve"> </w:t>
            </w:r>
            <w:r w:rsidRPr="000F0E66">
              <w:t xml:space="preserve">cases. </w:t>
            </w:r>
            <w:r>
              <w:t>However, o</w:t>
            </w:r>
            <w:r w:rsidRPr="000F0E66">
              <w:t xml:space="preserve">nce it has been initiated, treatment must generally be administered for life. </w:t>
            </w:r>
            <w:r>
              <w:t xml:space="preserve">Treatment should commence </w:t>
            </w:r>
            <w:r w:rsidRPr="000F0E66">
              <w:t>before the onset of complications, the sequelae of which</w:t>
            </w:r>
            <w:r>
              <w:t xml:space="preserve"> </w:t>
            </w:r>
            <w:r w:rsidRPr="000F0E66">
              <w:t xml:space="preserve">are disabling or not improved by further treatment, including massive fibrous splenomegaly, secondary osteoarthritis, vertebral compression and other fractures, hepatic </w:t>
            </w:r>
            <w:proofErr w:type="gramStart"/>
            <w:r w:rsidRPr="000F0E66">
              <w:t>fibrosis</w:t>
            </w:r>
            <w:proofErr w:type="gramEnd"/>
            <w:r w:rsidRPr="000F0E66">
              <w:t xml:space="preserve"> </w:t>
            </w:r>
            <w:r w:rsidRPr="000F0E66">
              <w:lastRenderedPageBreak/>
              <w:t>and lung fibrosis</w:t>
            </w:r>
            <w:r>
              <w:t xml:space="preserve">. ERT with intravenous recombinant enzyme products </w:t>
            </w:r>
            <w:r w:rsidRPr="000F0E66">
              <w:t>suppl</w:t>
            </w:r>
            <w:r>
              <w:t>ies</w:t>
            </w:r>
            <w:r w:rsidRPr="000F0E66">
              <w:t xml:space="preserve"> the </w:t>
            </w:r>
            <w:proofErr w:type="spellStart"/>
            <w:r w:rsidRPr="000F0E66">
              <w:t>GCase</w:t>
            </w:r>
            <w:proofErr w:type="spellEnd"/>
            <w:r w:rsidRPr="000F0E66">
              <w:t xml:space="preserve"> lacking in the cells</w:t>
            </w:r>
            <w:r>
              <w:t xml:space="preserve">. This strategy supplies </w:t>
            </w:r>
            <w:r w:rsidRPr="00753160">
              <w:t xml:space="preserve">sufficient exogenous enzyme to overcome the block in the catabolic pathway, clearing the stored substrate, GL1, and </w:t>
            </w:r>
            <w:r>
              <w:t>in so doing,</w:t>
            </w:r>
            <w:r w:rsidRPr="00753160">
              <w:t xml:space="preserve"> reversing h</w:t>
            </w:r>
            <w:r>
              <w:t>a</w:t>
            </w:r>
            <w:r w:rsidRPr="00753160">
              <w:t>ematologic and liver/spleen involvement.</w:t>
            </w:r>
            <w:r>
              <w:t xml:space="preserve"> </w:t>
            </w:r>
            <w:r w:rsidRPr="000F0E66">
              <w:t>There is no evidence that ERT has reversed, stabili</w:t>
            </w:r>
            <w:r>
              <w:t>s</w:t>
            </w:r>
            <w:r w:rsidRPr="000F0E66">
              <w:t>ed, or slowed the progression of neurological</w:t>
            </w:r>
            <w:r>
              <w:t xml:space="preserve"> </w:t>
            </w:r>
            <w:r w:rsidRPr="000F0E66">
              <w:t>involvement.</w:t>
            </w:r>
            <w:r>
              <w:t xml:space="preserve"> Therefore, n</w:t>
            </w:r>
            <w:r w:rsidRPr="000F0E66">
              <w:t>one of the ERTs are indicated</w:t>
            </w:r>
            <w:r>
              <w:t xml:space="preserve"> </w:t>
            </w:r>
            <w:r w:rsidRPr="000F0E66">
              <w:t>for GD2 as treatment has no impact on the rapid progression of its severe neurological symptoms.</w:t>
            </w:r>
            <w:r>
              <w:t xml:space="preserve"> </w:t>
            </w:r>
            <w:r w:rsidRPr="000F0E66">
              <w:t>Specific treatment with ERT should be considered for all GD3 patients, but only for those GD1</w:t>
            </w:r>
            <w:r>
              <w:t xml:space="preserve"> </w:t>
            </w:r>
            <w:r w:rsidRPr="000F0E66">
              <w:t>patients who have symptomatic clinical or biological abnormalities</w:t>
            </w:r>
            <w:r>
              <w:t>. SRT aims</w:t>
            </w:r>
            <w:r w:rsidRPr="000F0E66">
              <w:t xml:space="preserve"> to reduce excess cell</w:t>
            </w:r>
            <w:r>
              <w:t xml:space="preserve"> </w:t>
            </w:r>
            <w:r w:rsidRPr="003B2EF3">
              <w:t>glucosylceramides</w:t>
            </w:r>
            <w:r w:rsidRPr="000F0E66">
              <w:t xml:space="preserve"> </w:t>
            </w:r>
            <w:r>
              <w:t>(</w:t>
            </w:r>
            <w:proofErr w:type="spellStart"/>
            <w:r w:rsidRPr="000F0E66">
              <w:t>GlcCer</w:t>
            </w:r>
            <w:proofErr w:type="spellEnd"/>
            <w:r>
              <w:t>)</w:t>
            </w:r>
            <w:r w:rsidRPr="000F0E66">
              <w:t xml:space="preserve"> by decreasing</w:t>
            </w:r>
            <w:r>
              <w:t xml:space="preserve"> </w:t>
            </w:r>
            <w:r w:rsidRPr="000F0E66">
              <w:t>its production</w:t>
            </w:r>
            <w:r>
              <w:t xml:space="preserve"> </w:t>
            </w:r>
            <w:r w:rsidRPr="000F0E66">
              <w:t>in Gaucher cells.</w:t>
            </w:r>
            <w:r>
              <w:t xml:space="preserve"> Some SRTs are used as a second-line treatment when ERT can no longer be tolerated</w:t>
            </w:r>
            <w:r w:rsidRPr="000F0E66">
              <w:t xml:space="preserve"> </w:t>
            </w:r>
            <w:r>
              <w:fldChar w:fldCharType="begin">
                <w:fldData xml:space="preserve">PEVuZE5vdGU+PENpdGU+PEF1dGhvcj5TdGlybmVtYW5uPC9BdXRob3I+PFllYXI+MjAxNzwvWWVh
cj48UmVjTnVtPjU4PC9SZWNOdW0+PElEVGV4dD4yODIxODY2OTwvSURUZXh0PjxEaXNwbGF5VGV4
dD4oUGFzdG9yZXMgJmFtcDsgSHVnaGVzLCAyMDE4OyBTdGlybmVtYW5uIGV0IGFsLiwgMjAxNyk8
L0Rpc3BsYXlUZXh0PjxyZWNvcmQ+PHJlYy1udW1iZXI+NTg8L3JlYy1udW1iZXI+PGZvcmVpZ24t
a2V5cz48a2V5IGFwcD0iRU4iIGRiLWlkPSJ0dmQyeDJhZXBycDkwdGUyMmVveDl0dnhmZTJhMHh2
MHRkZnMiIHRpbWVzdGFtcD0iMTYyMzM3MzE2MCI+NTg8L2tleT48L2ZvcmVpZ24ta2V5cz48cmVm
LXR5cGUgbmFtZT0iSm91cm5hbCBBcnRpY2xlIj4xNzwvcmVmLXR5cGU+PGNvbnRyaWJ1dG9ycz48
YXV0aG9ycz48YXV0aG9yPlN0aXJuZW1hbm4sIEouPC9hdXRob3I+PGF1dGhvcj5CZWxtYXRvdWcs
IE4uPC9hdXRob3I+PGF1dGhvcj5DYW1vdSwgRi48L2F1dGhvcj48YXV0aG9yPlNlcnJhdHJpY2Us
IEMuPC9hdXRob3I+PGF1dGhvcj5Gcm9pc3NhcnQsIFIuPC9hdXRob3I+PGF1dGhvcj5DYWlsbGF1
ZCwgQy48L2F1dGhvcj48YXV0aG9yPkxldmFkZSwgVC48L2F1dGhvcj48YXV0aG9yPkFzdHVkaWxs
bywgTC48L2F1dGhvcj48YXV0aG9yPlNlcnJhdHJpY2UsIEouPC9hdXRob3I+PGF1dGhvcj5CcmFz
c2llciwgQS48L2F1dGhvcj48YXV0aG9yPlJvc2UsIEMuPC9hdXRob3I+PGF1dGhvcj5CaWxsZXR0
ZSBkZSBWaWxsZW1ldXIsIFQuPC9hdXRob3I+PGF1dGhvcj5CZXJnZXIsIE0uIEcuPC9hdXRob3I+
PC9hdXRob3JzPjwvY29udHJpYnV0b3JzPjxhdXRoLWFkZHJlc3M+RGVwYXJ0bWVudCBvZiBJbnRl
cm5hbCBNZWRpY2luZSwgR2VuZXZhIFVuaXZlcnNpdHkgSG9zcGl0YWwsIFJ1ZSBHYWJyaWVsbGUt
UGVycmV0LUdlbnRpbCA0LCBDSC0xMjExIEdlbsOodmUsIFN3aXR6ZXJsYW5kLiBqZXJvbWUuc3Rp
cm5lbWFubkBoY3VnZS5jaC4mI3hEO0RlcGFydG1lbnQgb2YgSW50ZXJuYWwgTWVkaWNpbmUsIFJl
ZmVyZW5jZSBDZW50ZXIgZm9yIEx5c29zb21hbCBTdG9yYWdlIERpc2Vhc2VzLCBIw7RwaXRhdXgg
VW5pdmVyc2l0YWlyZXMgUGFyaXMgTm9yZCBWYWwgZGUgU2VpbmUsIHNpdGUgQmVhdWpvbiwgQXNz
aXN0YW5jZSBQdWJsaXF1ZS1Iw7RwaXRhdXggZGUgUGFyaXMsIDEwMCBib3VsZXZhcmQgZHUgR8Op
bsOpcmFsIExlY2xlcmMsIEYtOTIxMTAgQ2xpY2h5IGxhIEdhcmVubmUsIEZyYW5jZS4gbmFkaWEu
YmVsbWF0b3VnQGFwaHAuZnIuJiN4RDtSw6lhbmltYXRpb24gTcOpZGljYWxlLCBIw7RwaXRhbCBT
YWludCBBbmRyw6ksIENIVSBkZSBCb3JkZWF1eCwgMSBydWUgSmVhbiBCdXJndWV0LCBGLTMzMDc1
IEJvcmRlYXV4LCBGcmFuY2UuIGZhYnJpY2UuY2Ftb3VAY2h1LWJvcmRlYXV4LmZyLiYjeEQ7RGVw
YXJ0bWVudCBvZiBJbnRlcm5hbCBNZWRpY2luZSwgR2VuZXZhIFVuaXZlcnNpdHkgSG9zcGl0YWws
IFJ1ZSBHYWJyaWVsbGUtUGVycmV0LUdlbnRpbCA0LCBDSC0xMjExIEdlbsOodmUsIFN3aXR6ZXJs
YW5kLiBjaHJpc3RpbmUuc2VycmF0cmljZUBoY3VnZS5jaC4mI3hEO1NlcnZpY2UgZGUgQmlvY2hp
bWllIGV0IEJpb2xvZ2llIE1vbMOpY3VsYWlyZSBHcmFuZCBFc3QsIHVuaXTDqSBkZXMgTWFsYWRp
ZXMgSMOpcsOpZGl0YWlyZXMgZHUgTcOpdGFib2xpc21lIGV0IETDqXBpc3RhZ2UgTsOpb25hdGFs
LCBDZW50cmUgZGUgQmlvbG9naWUgZXQgZGUgUGF0aG9sb2dpZSBFc3QsIEhvc3BpY2VzIENpdmls
cyBkZSBMeW9uLCBGLTY5Njc3IEJyb24sIEZyYW5jZS4gcm9zZWxpbmUuZnJvaXNzYXJ0QGNodS1s
eW9uLmZyLiYjeEQ7SW5zZXJtIFUxMTUxLCBJbnN0aXR1dCBOZWNrZXIgRW5mYW50cyBNYWxhZGVz
LCBVbml2ZXJzaXTDqSBQYXJpcyBEZXNjYXJ0ZXMsIExhYm9yYXRvaXJlIGRlIEJpb2NoaW1pZSwg
TcOpdGFib2xvbWlxdWUgZXQgUHJvdMOpb21pcXVlLCBIw7RwaXRhbCBVbml2ZXJzaXRhaXJlIE5l
Y2tlciBFbmZhbnRzIE1hbGFkZXMsIEFzc2lzdGFuY2UgUHVibGlxdWUtSMO0cGl0YXV4IGRlIFBh
cmlzLCAxNDkgcnVlIGRlIFPDqHZyZXMsIEYtNzUwMDUgUGFyaXMsIEZyYW5jZS4gY2F0aGVyaW5l
LmNhaWxsYXVkQGluc2VybS5mci4mI3hEO0luc3RpdHV0IE5hdGlvbmFsIGRlIGxhIFNhbnTDqSBl
dCBkZSBsYSBSZWNoZXJjaGUgTcOpZGljYWxlIChJTlNFUk0pIFVNUjEwMzcsIENlbnRyZSBkZSBS
ZWNoZXJjaGVzIGVuIENhbmPDqXJvbG9naWUgZGUgVG91bG91c2UgKENSQ1QpLCBVbml2ZXJzaXTD
qSBQYXVsIFNhYmF0aWVyLCBMYWJvcmF0b2lyZSBkZSBCaW9jaGltaWUgTcOpdGFib2xpcXVlLCBJ
bnN0aXR1dCBGw6lkw6lyYXRpZiBkZSBCaW9sb2dpZSwgQ0hVIFB1cnBhbiwgRi0zMTA1OSBUb3Vs
b3VzZSwgRnJhbmNlLiBsZXZhZGUudEBjaHUtdG91bG91c2UuZnIuJiN4RDtJbnN0aXR1dCBOYXRp
b25hbCBkZSBsYSBTYW50w6kgZXQgZGUgbGEgUmVjaGVyY2hlIE3DqWRpY2FsZSAoSU5TRVJNKSBV
TVIxMDM3LCBFcXVpcGUgTGFiZWxsaXPDqWUgTGlndWUgQ29udHJlIGxlIENhbmNlciAyMDEzLCBD
ZW50cmUgZGUgUmVjaGVyY2hlcyBlbiBDYW5jZXJvbG9naWUgZGUgVG91bG91c2UgKENSQ1QpLCBV
bml2ZXJzaXTDqSBkZSBUb3Vsb3VzZSwgU2VydmljZSBkZSBNw6lkZWNpbmUgSW50ZXJuZSwgQ0hV
IFB1cnBhbiwgRi0zMTA1OSBUb3Vsb3VzZSwgRnJhbmNlLiBsZW9uYXJkby5hc3R1ZGlsbG8zMUBn
bWFpbC5jb20uJiN4RDtEZXBhcnRtZW50IG9mIEludGVybmFsIE1lZGljaW5lLCBHZW5ldmEgVW5p
dmVyc2l0eSBIb3NwaXRhbCwgUnVlIEdhYnJpZWxsZS1QZXJyZXQtR2VudGlsIDQsIENILTEyMTEg
R2Vuw6h2ZSwgU3dpdHplcmxhbmQuIGphY3F1ZXMuc2VycmF0cmljZUBoY3VnZS5jaC4mI3hEO0Nl
bnRyZSBkZSBSw6lmw6lyZW5jZSBkZXMgTWFsYWRpZXMgSMOpcsOpZGl0YWlyZXMgZHUgTcOpdGFi
b2xpc21lIGRlIGwmYXBvcztFbmZhbnQgZXQgZGUgbCZhcG9zO0FkdWx0ZSAoTWFNRUEpLCBIw7Rw
aXRhbCBOZWNrZXItRW5mYW50cyBNYWxhZGVzLCBBc3Npc3RhbmNlIFB1YmxpcXVlLUjDtHBpdGF1
eCBkZSBQYXJpcywgVW5pdmVyc2l0w6kgUGFyaXMgRGVzY2FydGVzLCBJbnN0aXR1dCBJbWFnaW5l
LCBGLTc1MDEyIFBhcmlzLCBGcmFuY2UuIGFuYWlzLmJyYXNzaWVyQG5jay5hcGhwLmZyLiYjeEQ7
U2VydmljZSBkJmFwb3M7b25jby1ow6ltYXRvbG9naWUsIFNhaW50LVZpbmNlbnQgZGUgUGF1bCBI
b3NwaXRhbCwgQm91bGV2YXJkIGRlIEJlbGZvcnQsIFVuaXZlcnNpdMOpIENhdGhvbGlxdWUgZGUg
TGlsbGUsIFVuaXYuIE5vcmQgZGUgRnJhbmNlLCBGLTU5MDAwIExpbGxlLCBGcmFuY2UuIFJvc2Uu
Q2hyaXN0aWFuQGdoaWNsLm5ldC4mI3hEO1NlcnZpY2UgZGUgTmV1cm9ww6lkaWF0cmllLCBQYXRo
b2xvZ2llIGR1IGTDqXZlbG9wcGVtZW50LCBTb3Jib25uZSBVbml2ZXJzaXTDqSwgUmVmZXJlbmNl
IENlbnRlciBmb3IgTHlzb3NvbWFsIERpc2Vhc2VzLCBIw7RwaXRhbCBUcm91c3NlYXUsIEFzc2lz
dGFuY2UgUHVibGlxdWUtSMO0cGl0YXV4IGRlIFBhcmlzLCAyNCBBdmVudWUgZHUgZG9jdGV1ciBB
cm5vbGQgTmV0dGVyLCBGLTc1MDEyIFBhcmlzLCBGcmFuY2UuIHRoaWVycnkuYmlsbGV0dGVAYXBo
cC5mci4mI3hEO0NIVSBFc3RhaW5nIGV0IFVuaXZlcnNpdMOpIENsZXJtb250IEF1dmVyZ25lLCBI
ZW1hdG9sb2d5IChCaW9sb2d5KSBldCBFQSA3NDUzIENIRUxURVIsIEYtNjMwMDAgQ2xlcm1vbnQt
RmVycmFuZCwgRnJhbmNlLiBtYmVyZ2VyQGNodS1jbGVybW9udGZlcnJhbmQuZnIuPC9hdXRoLWFk
ZHJlc3M+PHRpdGxlcz48dGl0bGU+QSBSZXZpZXcgb2YgR2F1Y2hlciBEaXNlYXNlIFBhdGhvcGh5
c2lvbG9neSwgQ2xpbmljYWwgUHJlc2VudGF0aW9uIGFuZCBUcmVhdG1lbnRzPC90aXRsZT48c2Vj
b25kYXJ5LXRpdGxlPkludCBKIE1vbCBTY2k8L3NlY29uZGFyeS10aXRsZT48L3RpdGxlcz48cGVy
aW9kaWNhbD48ZnVsbC10aXRsZT5JbnQgSiBNb2wgU2NpPC9mdWxsLXRpdGxlPjwvcGVyaW9kaWNh
bD48dm9sdW1lPjE4PC92b2x1bWU+PG51bWJlcj4yPC9udW1iZXI+PGVkaXRpb24+MjAxNy8wMi8y
MjwvZWRpdGlvbj48a2V5d29yZHM+PGtleXdvcmQ+R2F1Y2hlciBEaXNlYXNlL2RpYWdub3Npcy9l
cGlkZW1pb2xvZ3kvKnBoeXNpb3BhdGhvbG9neS8qdGhlcmFweTwva2V5d29yZD48a2V5d29yZD5I
dW1hbnM8L2tleXdvcmQ+PGtleXdvcmQ+TWV0YWJvbGljIE5ldHdvcmtzIGFuZCBQYXRod2F5czwv
a2V5d29yZD48a2V5d29yZD5Nb2RlbHMsIEJpb2xvZ2ljYWw8L2tleXdvcmQ+PGtleXdvcmQ+TW9u
aXRvcmluZywgUGh5c2lvbG9naWM8L2tleXdvcmQ+PGtleXdvcmQ+UHJvZ25vc2lzPC9rZXl3b3Jk
PjxrZXl3b3JkPkdCQTEgZ2VuZTwva2V5d29yZD48a2V5d29yZD5HYXVjaGVyIGRpc2Vhc2U8L2tl
eXdvcmQ+PGtleXdvcmQ+YmlvbWFya2Vyczwva2V5d29yZD48a2V5d29yZD5lbnp5bWUgcmVwbGFj
ZW1lbnQgdGhlcmFweTwva2V5d29yZD48a2V5d29yZD5nbHVjb2NlcmVicm9zaWRhc2U8L2tleXdv
cmQ+PGtleXdvcmQ+bHlzb3NvbWFsIHN0b3JhZ2UgZGlzZWFzZTwva2V5d29yZD48a2V5d29yZD5z
dWJzdHJhdGUgcmVkdWN0aW9uIHRoZXJhcHk8L2tleXdvcmQ+PGtleXdvcmQ+TWFyYyBHLiBCZXJn
ZXIgaGF2ZSByZWNlaXZlZCBjb25zdWx0aW5nIGFuZCBzcGVha2luZyBmZWVzIGZyb20gU2Fub2Zp
LUdlbnp5bWUsPC9rZXl3b3JkPjxrZXl3b3JkPlNoaXJlLCBBY3RlbGlvbiBhbmQgUGZpemVyLiBS
b3NlbGluZSBGcm9pc3NhcnQgaGFzIHJlY2VpdmVkIHRyYXZlbCBmZWVzIGZyb208L2tleXdvcmQ+
PGtleXdvcmQ+U2Fub2ZpLUdlbnp5bWUuIEdyYW50cyBmcm9tIHRoZXNlIGNvbXBhbmllcyB3ZXJl
IGRvbmF0ZWQgdG8gdGhlIERlcGFydG1lbnQgb2Y8L2tleXdvcmQ+PGtleXdvcmQ+Q2xpbmljYWwg
UmVzZWFyY2ggb2YgdGhlIEFzc2lzdGFuY2UtUHVibGlxdWUgSMO0cGl0YXV4IGRlIFBhcmlzIGFu
ZCBvZiB0aGUgVW5pdmVyc2l0eTwva2V5d29yZD48a2V5d29yZD5Ib3NwaXRhbCBvZiBDbGVybW9u
dC1GZXJyYW5kLiBDaHJpc3RpbmUgU2VycmF0cmljZSBhbmQgRmFicmljZSBDYW1vdSBoYXZlIHJl
Y2VpdmVkPC9rZXl3b3JkPjxrZXl3b3JkPmNvbnN1bHRhdGlvbiBhbmQgc3BlYWtpbmcgZmVlcyBm
cm9tIFNhbm9maS1HZW56eW1lIGFuZCBTaGlyZS4gVGhpZXJyeSBMZXZhZGU8L2tleXdvcmQ+PGtl
eXdvcmQ+cmVjZWl2ZWQgc3VwcG9ydCBmb3IgdHJhdmVsIGZlZXMgZnJvbSBTYW5vZmktR2Vuenlt
ZSBhbmQgU2hpcmUuPC9rZXl3b3JkPjwva2V5d29yZHM+PGRhdGVzPjx5ZWFyPjIwMTc8L3llYXI+
PHB1Yi1kYXRlcz48ZGF0ZT5GZWIgMTc8L2RhdGU+PC9wdWItZGF0ZXM+PC9kYXRlcz48aXNibj4x
NDIyLTAwNjc8L2lzYm4+PGFjY2Vzc2lvbi1udW0+MjgyMTg2Njk8L2FjY2Vzc2lvbi1udW0+PHVy
bHM+PHJlbGF0ZWQtdXJscz48dXJsPmh0dHBzOi8vcmVzLm1kcGkuY29tL2RfYXR0YWNobWVudC9p
am1zL2lqbXMtMTgtMDA0NDEvYXJ0aWNsZV9kZXBsb3kvaWptcy0xOC0wMDQ0MS12Mi5wZGY8L3Vy
bD48L3JlbGF0ZWQtdXJscz48L3VybHM+PGN1c3RvbTI+UE1DNTM0Mzk3NTwvY3VzdG9tMj48ZWxl
Y3Ryb25pYy1yZXNvdXJjZS1udW0+MTAuMzM5MC9pam1zMTgwMjA0NDE8L2VsZWN0cm9uaWMtcmVz
b3VyY2UtbnVtPjxyZW1vdGUtZGF0YWJhc2UtcHJvdmlkZXI+TkxNPC9yZW1vdGUtZGF0YWJhc2Ut
cHJvdmlkZXI+PGxhbmd1YWdlPmVuZzwvbGFuZ3VhZ2U+PC9yZWNvcmQ+PC9DaXRlPjxDaXRlPjxB
dXRob3I+UGFzdG9yZXM8L0F1dGhvcj48WWVhcj4yMDE4PC9ZZWFyPjxSZWNOdW0+NTk8L1JlY051
bT48cmVjb3JkPjxyZWMtbnVtYmVyPjU5PC9yZWMtbnVtYmVyPjxmb3JlaWduLWtleXM+PGtleSBh
cHA9IkVOIiBkYi1pZD0idHZkMngyYWVwcnA5MHRlMjJlb3g5dHZ4ZmUyYTB4djB0ZGZzIiB0aW1l
c3RhbXA9IjE2MjMzNzMxNjAiPjU5PC9rZXk+PC9mb3JlaWduLWtleXM+PHJlZi10eXBlIG5hbWU9
IldlYiBQYWdlIj4xMjwvcmVmLXR5cGU+PGNvbnRyaWJ1dG9ycz48YXV0aG9ycz48YXV0aG9yPlBh
c3RvcmVzLCBHLk0uPC9hdXRob3I+PGF1dGhvcj5IdWdoZXMsIEQuQS48L2F1dGhvcj48L2F1dGhv
cnM+PHNlY29uZGFyeS1hdXRob3JzPjxhdXRob3I+QWRhbSwgTS5QLjwvYXV0aG9yPjxhdXRob3I+
QXJkaW5nZXIsIEguSC48L2F1dGhvcj48YXV0aG9yPlBhZ29uLCBSLkEuPC9hdXRob3I+PC9zZWNv
bmRhcnktYXV0aG9ycz48L2NvbnRyaWJ1dG9ycz48dGl0bGVzPjx0aXRsZT5HYXVjaGVyIERpc2Vh
c2U8L3RpdGxlPjxzZWNvbmRhcnktdGl0bGU+R2VuZVJldmlld3PCrjwvc2Vjb25kYXJ5LXRpdGxl
PjwvdGl0bGVzPjx2b2x1bWU+MjAyMDwvdm9sdW1lPjxudW1iZXI+MjV0aCBBdWd1c3Q8L251bWJl
cj48ZGF0ZXM+PHllYXI+MjAxODwveWVhcj48L2RhdGVzPjxwdWItbG9jYXRpb24+U2VhdHRsZTwv
cHViLWxvY2F0aW9uPjxwdWJsaXNoZXI+VW5pdmVyc2l0eSBvZiBXYXNoaW5ndG9uPC9wdWJsaXNo
ZXI+PHVybHM+PHJlbGF0ZWQtdXJscz48dXJsPmh0dHBzOi8vd3d3Lm5jYmkubmxtLm5paC5nb3Yv
Ym9va3MvTkJLMTI2OS88L3VybD48L3JlbGF0ZWQtdXJscz48L3VybHM+PC9yZWNvcmQ+PC9DaXRl
PjwvRW5kTm90ZT5=
</w:fldData>
              </w:fldChar>
            </w:r>
            <w:r>
              <w:instrText xml:space="preserve"> ADDIN EN.CITE </w:instrText>
            </w:r>
            <w:r>
              <w:fldChar w:fldCharType="begin">
                <w:fldData xml:space="preserve">PEVuZE5vdGU+PENpdGU+PEF1dGhvcj5TdGlybmVtYW5uPC9BdXRob3I+PFllYXI+MjAxNzwvWWVh
cj48UmVjTnVtPjU4PC9SZWNOdW0+PElEVGV4dD4yODIxODY2OTwvSURUZXh0PjxEaXNwbGF5VGV4
dD4oUGFzdG9yZXMgJmFtcDsgSHVnaGVzLCAyMDE4OyBTdGlybmVtYW5uIGV0IGFsLiwgMjAxNyk8
L0Rpc3BsYXlUZXh0PjxyZWNvcmQ+PHJlYy1udW1iZXI+NTg8L3JlYy1udW1iZXI+PGZvcmVpZ24t
a2V5cz48a2V5IGFwcD0iRU4iIGRiLWlkPSJ0dmQyeDJhZXBycDkwdGUyMmVveDl0dnhmZTJhMHh2
MHRkZnMiIHRpbWVzdGFtcD0iMTYyMzM3MzE2MCI+NTg8L2tleT48L2ZvcmVpZ24ta2V5cz48cmVm
LXR5cGUgbmFtZT0iSm91cm5hbCBBcnRpY2xlIj4xNzwvcmVmLXR5cGU+PGNvbnRyaWJ1dG9ycz48
YXV0aG9ycz48YXV0aG9yPlN0aXJuZW1hbm4sIEouPC9hdXRob3I+PGF1dGhvcj5CZWxtYXRvdWcs
IE4uPC9hdXRob3I+PGF1dGhvcj5DYW1vdSwgRi48L2F1dGhvcj48YXV0aG9yPlNlcnJhdHJpY2Us
IEMuPC9hdXRob3I+PGF1dGhvcj5Gcm9pc3NhcnQsIFIuPC9hdXRob3I+PGF1dGhvcj5DYWlsbGF1
ZCwgQy48L2F1dGhvcj48YXV0aG9yPkxldmFkZSwgVC48L2F1dGhvcj48YXV0aG9yPkFzdHVkaWxs
bywgTC48L2F1dGhvcj48YXV0aG9yPlNlcnJhdHJpY2UsIEouPC9hdXRob3I+PGF1dGhvcj5CcmFz
c2llciwgQS48L2F1dGhvcj48YXV0aG9yPlJvc2UsIEMuPC9hdXRob3I+PGF1dGhvcj5CaWxsZXR0
ZSBkZSBWaWxsZW1ldXIsIFQuPC9hdXRob3I+PGF1dGhvcj5CZXJnZXIsIE0uIEcuPC9hdXRob3I+
PC9hdXRob3JzPjwvY29udHJpYnV0b3JzPjxhdXRoLWFkZHJlc3M+RGVwYXJ0bWVudCBvZiBJbnRl
cm5hbCBNZWRpY2luZSwgR2VuZXZhIFVuaXZlcnNpdHkgSG9zcGl0YWwsIFJ1ZSBHYWJyaWVsbGUt
UGVycmV0LUdlbnRpbCA0LCBDSC0xMjExIEdlbsOodmUsIFN3aXR6ZXJsYW5kLiBqZXJvbWUuc3Rp
cm5lbWFubkBoY3VnZS5jaC4mI3hEO0RlcGFydG1lbnQgb2YgSW50ZXJuYWwgTWVkaWNpbmUsIFJl
ZmVyZW5jZSBDZW50ZXIgZm9yIEx5c29zb21hbCBTdG9yYWdlIERpc2Vhc2VzLCBIw7RwaXRhdXgg
VW5pdmVyc2l0YWlyZXMgUGFyaXMgTm9yZCBWYWwgZGUgU2VpbmUsIHNpdGUgQmVhdWpvbiwgQXNz
aXN0YW5jZSBQdWJsaXF1ZS1Iw7RwaXRhdXggZGUgUGFyaXMsIDEwMCBib3VsZXZhcmQgZHUgR8Op
bsOpcmFsIExlY2xlcmMsIEYtOTIxMTAgQ2xpY2h5IGxhIEdhcmVubmUsIEZyYW5jZS4gbmFkaWEu
YmVsbWF0b3VnQGFwaHAuZnIuJiN4RDtSw6lhbmltYXRpb24gTcOpZGljYWxlLCBIw7RwaXRhbCBT
YWludCBBbmRyw6ksIENIVSBkZSBCb3JkZWF1eCwgMSBydWUgSmVhbiBCdXJndWV0LCBGLTMzMDc1
IEJvcmRlYXV4LCBGcmFuY2UuIGZhYnJpY2UuY2Ftb3VAY2h1LWJvcmRlYXV4LmZyLiYjeEQ7RGVw
YXJ0bWVudCBvZiBJbnRlcm5hbCBNZWRpY2luZSwgR2VuZXZhIFVuaXZlcnNpdHkgSG9zcGl0YWws
IFJ1ZSBHYWJyaWVsbGUtUGVycmV0LUdlbnRpbCA0LCBDSC0xMjExIEdlbsOodmUsIFN3aXR6ZXJs
YW5kLiBjaHJpc3RpbmUuc2VycmF0cmljZUBoY3VnZS5jaC4mI3hEO1NlcnZpY2UgZGUgQmlvY2hp
bWllIGV0IEJpb2xvZ2llIE1vbMOpY3VsYWlyZSBHcmFuZCBFc3QsIHVuaXTDqSBkZXMgTWFsYWRp
ZXMgSMOpcsOpZGl0YWlyZXMgZHUgTcOpdGFib2xpc21lIGV0IETDqXBpc3RhZ2UgTsOpb25hdGFs
LCBDZW50cmUgZGUgQmlvbG9naWUgZXQgZGUgUGF0aG9sb2dpZSBFc3QsIEhvc3BpY2VzIENpdmls
cyBkZSBMeW9uLCBGLTY5Njc3IEJyb24sIEZyYW5jZS4gcm9zZWxpbmUuZnJvaXNzYXJ0QGNodS1s
eW9uLmZyLiYjeEQ7SW5zZXJtIFUxMTUxLCBJbnN0aXR1dCBOZWNrZXIgRW5mYW50cyBNYWxhZGVz
LCBVbml2ZXJzaXTDqSBQYXJpcyBEZXNjYXJ0ZXMsIExhYm9yYXRvaXJlIGRlIEJpb2NoaW1pZSwg
TcOpdGFib2xvbWlxdWUgZXQgUHJvdMOpb21pcXVlLCBIw7RwaXRhbCBVbml2ZXJzaXRhaXJlIE5l
Y2tlciBFbmZhbnRzIE1hbGFkZXMsIEFzc2lzdGFuY2UgUHVibGlxdWUtSMO0cGl0YXV4IGRlIFBh
cmlzLCAxNDkgcnVlIGRlIFPDqHZyZXMsIEYtNzUwMDUgUGFyaXMsIEZyYW5jZS4gY2F0aGVyaW5l
LmNhaWxsYXVkQGluc2VybS5mci4mI3hEO0luc3RpdHV0IE5hdGlvbmFsIGRlIGxhIFNhbnTDqSBl
dCBkZSBsYSBSZWNoZXJjaGUgTcOpZGljYWxlIChJTlNFUk0pIFVNUjEwMzcsIENlbnRyZSBkZSBS
ZWNoZXJjaGVzIGVuIENhbmPDqXJvbG9naWUgZGUgVG91bG91c2UgKENSQ1QpLCBVbml2ZXJzaXTD
qSBQYXVsIFNhYmF0aWVyLCBMYWJvcmF0b2lyZSBkZSBCaW9jaGltaWUgTcOpdGFib2xpcXVlLCBJ
bnN0aXR1dCBGw6lkw6lyYXRpZiBkZSBCaW9sb2dpZSwgQ0hVIFB1cnBhbiwgRi0zMTA1OSBUb3Vs
b3VzZSwgRnJhbmNlLiBsZXZhZGUudEBjaHUtdG91bG91c2UuZnIuJiN4RDtJbnN0aXR1dCBOYXRp
b25hbCBkZSBsYSBTYW50w6kgZXQgZGUgbGEgUmVjaGVyY2hlIE3DqWRpY2FsZSAoSU5TRVJNKSBV
TVIxMDM3LCBFcXVpcGUgTGFiZWxsaXPDqWUgTGlndWUgQ29udHJlIGxlIENhbmNlciAyMDEzLCBD
ZW50cmUgZGUgUmVjaGVyY2hlcyBlbiBDYW5jZXJvbG9naWUgZGUgVG91bG91c2UgKENSQ1QpLCBV
bml2ZXJzaXTDqSBkZSBUb3Vsb3VzZSwgU2VydmljZSBkZSBNw6lkZWNpbmUgSW50ZXJuZSwgQ0hV
IFB1cnBhbiwgRi0zMTA1OSBUb3Vsb3VzZSwgRnJhbmNlLiBsZW9uYXJkby5hc3R1ZGlsbG8zMUBn
bWFpbC5jb20uJiN4RDtEZXBhcnRtZW50IG9mIEludGVybmFsIE1lZGljaW5lLCBHZW5ldmEgVW5p
dmVyc2l0eSBIb3NwaXRhbCwgUnVlIEdhYnJpZWxsZS1QZXJyZXQtR2VudGlsIDQsIENILTEyMTEg
R2Vuw6h2ZSwgU3dpdHplcmxhbmQuIGphY3F1ZXMuc2VycmF0cmljZUBoY3VnZS5jaC4mI3hEO0Nl
bnRyZSBkZSBSw6lmw6lyZW5jZSBkZXMgTWFsYWRpZXMgSMOpcsOpZGl0YWlyZXMgZHUgTcOpdGFi
b2xpc21lIGRlIGwmYXBvcztFbmZhbnQgZXQgZGUgbCZhcG9zO0FkdWx0ZSAoTWFNRUEpLCBIw7Rw
aXRhbCBOZWNrZXItRW5mYW50cyBNYWxhZGVzLCBBc3Npc3RhbmNlIFB1YmxpcXVlLUjDtHBpdGF1
eCBkZSBQYXJpcywgVW5pdmVyc2l0w6kgUGFyaXMgRGVzY2FydGVzLCBJbnN0aXR1dCBJbWFnaW5l
LCBGLTc1MDEyIFBhcmlzLCBGcmFuY2UuIGFuYWlzLmJyYXNzaWVyQG5jay5hcGhwLmZyLiYjeEQ7
U2VydmljZSBkJmFwb3M7b25jby1ow6ltYXRvbG9naWUsIFNhaW50LVZpbmNlbnQgZGUgUGF1bCBI
b3NwaXRhbCwgQm91bGV2YXJkIGRlIEJlbGZvcnQsIFVuaXZlcnNpdMOpIENhdGhvbGlxdWUgZGUg
TGlsbGUsIFVuaXYuIE5vcmQgZGUgRnJhbmNlLCBGLTU5MDAwIExpbGxlLCBGcmFuY2UuIFJvc2Uu
Q2hyaXN0aWFuQGdoaWNsLm5ldC4mI3hEO1NlcnZpY2UgZGUgTmV1cm9ww6lkaWF0cmllLCBQYXRo
b2xvZ2llIGR1IGTDqXZlbG9wcGVtZW50LCBTb3Jib25uZSBVbml2ZXJzaXTDqSwgUmVmZXJlbmNl
IENlbnRlciBmb3IgTHlzb3NvbWFsIERpc2Vhc2VzLCBIw7RwaXRhbCBUcm91c3NlYXUsIEFzc2lz
dGFuY2UgUHVibGlxdWUtSMO0cGl0YXV4IGRlIFBhcmlzLCAyNCBBdmVudWUgZHUgZG9jdGV1ciBB
cm5vbGQgTmV0dGVyLCBGLTc1MDEyIFBhcmlzLCBGcmFuY2UuIHRoaWVycnkuYmlsbGV0dGVAYXBo
cC5mci4mI3hEO0NIVSBFc3RhaW5nIGV0IFVuaXZlcnNpdMOpIENsZXJtb250IEF1dmVyZ25lLCBI
ZW1hdG9sb2d5IChCaW9sb2d5KSBldCBFQSA3NDUzIENIRUxURVIsIEYtNjMwMDAgQ2xlcm1vbnQt
RmVycmFuZCwgRnJhbmNlLiBtYmVyZ2VyQGNodS1jbGVybW9udGZlcnJhbmQuZnIuPC9hdXRoLWFk
ZHJlc3M+PHRpdGxlcz48dGl0bGU+QSBSZXZpZXcgb2YgR2F1Y2hlciBEaXNlYXNlIFBhdGhvcGh5
c2lvbG9neSwgQ2xpbmljYWwgUHJlc2VudGF0aW9uIGFuZCBUcmVhdG1lbnRzPC90aXRsZT48c2Vj
b25kYXJ5LXRpdGxlPkludCBKIE1vbCBTY2k8L3NlY29uZGFyeS10aXRsZT48L3RpdGxlcz48cGVy
aW9kaWNhbD48ZnVsbC10aXRsZT5JbnQgSiBNb2wgU2NpPC9mdWxsLXRpdGxlPjwvcGVyaW9kaWNh
bD48dm9sdW1lPjE4PC92b2x1bWU+PG51bWJlcj4yPC9udW1iZXI+PGVkaXRpb24+MjAxNy8wMi8y
MjwvZWRpdGlvbj48a2V5d29yZHM+PGtleXdvcmQ+R2F1Y2hlciBEaXNlYXNlL2RpYWdub3Npcy9l
cGlkZW1pb2xvZ3kvKnBoeXNpb3BhdGhvbG9neS8qdGhlcmFweTwva2V5d29yZD48a2V5d29yZD5I
dW1hbnM8L2tleXdvcmQ+PGtleXdvcmQ+TWV0YWJvbGljIE5ldHdvcmtzIGFuZCBQYXRod2F5czwv
a2V5d29yZD48a2V5d29yZD5Nb2RlbHMsIEJpb2xvZ2ljYWw8L2tleXdvcmQ+PGtleXdvcmQ+TW9u
aXRvcmluZywgUGh5c2lvbG9naWM8L2tleXdvcmQ+PGtleXdvcmQ+UHJvZ25vc2lzPC9rZXl3b3Jk
PjxrZXl3b3JkPkdCQTEgZ2VuZTwva2V5d29yZD48a2V5d29yZD5HYXVjaGVyIGRpc2Vhc2U8L2tl
eXdvcmQ+PGtleXdvcmQ+YmlvbWFya2Vyczwva2V5d29yZD48a2V5d29yZD5lbnp5bWUgcmVwbGFj
ZW1lbnQgdGhlcmFweTwva2V5d29yZD48a2V5d29yZD5nbHVjb2NlcmVicm9zaWRhc2U8L2tleXdv
cmQ+PGtleXdvcmQ+bHlzb3NvbWFsIHN0b3JhZ2UgZGlzZWFzZTwva2V5d29yZD48a2V5d29yZD5z
dWJzdHJhdGUgcmVkdWN0aW9uIHRoZXJhcHk8L2tleXdvcmQ+PGtleXdvcmQ+TWFyYyBHLiBCZXJn
ZXIgaGF2ZSByZWNlaXZlZCBjb25zdWx0aW5nIGFuZCBzcGVha2luZyBmZWVzIGZyb20gU2Fub2Zp
LUdlbnp5bWUsPC9rZXl3b3JkPjxrZXl3b3JkPlNoaXJlLCBBY3RlbGlvbiBhbmQgUGZpemVyLiBS
b3NlbGluZSBGcm9pc3NhcnQgaGFzIHJlY2VpdmVkIHRyYXZlbCBmZWVzIGZyb208L2tleXdvcmQ+
PGtleXdvcmQ+U2Fub2ZpLUdlbnp5bWUuIEdyYW50cyBmcm9tIHRoZXNlIGNvbXBhbmllcyB3ZXJl
IGRvbmF0ZWQgdG8gdGhlIERlcGFydG1lbnQgb2Y8L2tleXdvcmQ+PGtleXdvcmQ+Q2xpbmljYWwg
UmVzZWFyY2ggb2YgdGhlIEFzc2lzdGFuY2UtUHVibGlxdWUgSMO0cGl0YXV4IGRlIFBhcmlzIGFu
ZCBvZiB0aGUgVW5pdmVyc2l0eTwva2V5d29yZD48a2V5d29yZD5Ib3NwaXRhbCBvZiBDbGVybW9u
dC1GZXJyYW5kLiBDaHJpc3RpbmUgU2VycmF0cmljZSBhbmQgRmFicmljZSBDYW1vdSBoYXZlIHJl
Y2VpdmVkPC9rZXl3b3JkPjxrZXl3b3JkPmNvbnN1bHRhdGlvbiBhbmQgc3BlYWtpbmcgZmVlcyBm
cm9tIFNhbm9maS1HZW56eW1lIGFuZCBTaGlyZS4gVGhpZXJyeSBMZXZhZGU8L2tleXdvcmQ+PGtl
eXdvcmQ+cmVjZWl2ZWQgc3VwcG9ydCBmb3IgdHJhdmVsIGZlZXMgZnJvbSBTYW5vZmktR2Vuenlt
ZSBhbmQgU2hpcmUuPC9rZXl3b3JkPjwva2V5d29yZHM+PGRhdGVzPjx5ZWFyPjIwMTc8L3llYXI+
PHB1Yi1kYXRlcz48ZGF0ZT5GZWIgMTc8L2RhdGU+PC9wdWItZGF0ZXM+PC9kYXRlcz48aXNibj4x
NDIyLTAwNjc8L2lzYm4+PGFjY2Vzc2lvbi1udW0+MjgyMTg2Njk8L2FjY2Vzc2lvbi1udW0+PHVy
bHM+PHJlbGF0ZWQtdXJscz48dXJsPmh0dHBzOi8vcmVzLm1kcGkuY29tL2RfYXR0YWNobWVudC9p
am1zL2lqbXMtMTgtMDA0NDEvYXJ0aWNsZV9kZXBsb3kvaWptcy0xOC0wMDQ0MS12Mi5wZGY8L3Vy
bD48L3JlbGF0ZWQtdXJscz48L3VybHM+PGN1c3RvbTI+UE1DNTM0Mzk3NTwvY3VzdG9tMj48ZWxl
Y3Ryb25pYy1yZXNvdXJjZS1udW0+MTAuMzM5MC9pam1zMTgwMjA0NDE8L2VsZWN0cm9uaWMtcmVz
b3VyY2UtbnVtPjxyZW1vdGUtZGF0YWJhc2UtcHJvdmlkZXI+TkxNPC9yZW1vdGUtZGF0YWJhc2Ut
cHJvdmlkZXI+PGxhbmd1YWdlPmVuZzwvbGFuZ3VhZ2U+PC9yZWNvcmQ+PC9DaXRlPjxDaXRlPjxB
dXRob3I+UGFzdG9yZXM8L0F1dGhvcj48WWVhcj4yMDE4PC9ZZWFyPjxSZWNOdW0+NTk8L1JlY051
bT48cmVjb3JkPjxyZWMtbnVtYmVyPjU5PC9yZWMtbnVtYmVyPjxmb3JlaWduLWtleXM+PGtleSBh
cHA9IkVOIiBkYi1pZD0idHZkMngyYWVwcnA5MHRlMjJlb3g5dHZ4ZmUyYTB4djB0ZGZzIiB0aW1l
c3RhbXA9IjE2MjMzNzMxNjAiPjU5PC9rZXk+PC9mb3JlaWduLWtleXM+PHJlZi10eXBlIG5hbWU9
IldlYiBQYWdlIj4xMjwvcmVmLXR5cGU+PGNvbnRyaWJ1dG9ycz48YXV0aG9ycz48YXV0aG9yPlBh
c3RvcmVzLCBHLk0uPC9hdXRob3I+PGF1dGhvcj5IdWdoZXMsIEQuQS48L2F1dGhvcj48L2F1dGhv
cnM+PHNlY29uZGFyeS1hdXRob3JzPjxhdXRob3I+QWRhbSwgTS5QLjwvYXV0aG9yPjxhdXRob3I+
QXJkaW5nZXIsIEguSC48L2F1dGhvcj48YXV0aG9yPlBhZ29uLCBSLkEuPC9hdXRob3I+PC9zZWNv
bmRhcnktYXV0aG9ycz48L2NvbnRyaWJ1dG9ycz48dGl0bGVzPjx0aXRsZT5HYXVjaGVyIERpc2Vh
c2U8L3RpdGxlPjxzZWNvbmRhcnktdGl0bGU+R2VuZVJldmlld3PCrjwvc2Vjb25kYXJ5LXRpdGxl
PjwvdGl0bGVzPjx2b2x1bWU+MjAyMDwvdm9sdW1lPjxudW1iZXI+MjV0aCBBdWd1c3Q8L251bWJl
cj48ZGF0ZXM+PHllYXI+MjAxODwveWVhcj48L2RhdGVzPjxwdWItbG9jYXRpb24+U2VhdHRsZTwv
cHViLWxvY2F0aW9uPjxwdWJsaXNoZXI+VW5pdmVyc2l0eSBvZiBXYXNoaW5ndG9uPC9wdWJsaXNo
ZXI+PHVybHM+PHJlbGF0ZWQtdXJscz48dXJsPmh0dHBzOi8vd3d3Lm5jYmkubmxtLm5paC5nb3Yv
Ym9va3MvTkJLMTI2OS88L3VybD48L3JlbGF0ZWQtdXJscz48L3VybHM+PC9yZWNvcmQ+PC9DaXRl
PjwvRW5kTm90ZT5=
</w:fldData>
              </w:fldChar>
            </w:r>
            <w:r>
              <w:instrText xml:space="preserve"> ADDIN EN.CITE.DATA </w:instrText>
            </w:r>
            <w:r>
              <w:fldChar w:fldCharType="end"/>
            </w:r>
            <w:r>
              <w:fldChar w:fldCharType="separate"/>
            </w:r>
            <w:r>
              <w:rPr>
                <w:noProof/>
              </w:rPr>
              <w:t>(Pastores &amp; Hughes, 2018; Stirnemann et al., 2017)</w:t>
            </w:r>
            <w:r>
              <w:fldChar w:fldCharType="end"/>
            </w:r>
            <w:r>
              <w:t>.</w:t>
            </w:r>
          </w:p>
          <w:p w14:paraId="132A9C96" w14:textId="1AAFE2ED" w:rsidR="00E15C6E" w:rsidRDefault="00E15C6E" w:rsidP="00024485">
            <w:pPr>
              <w:pStyle w:val="Tabletext"/>
            </w:pPr>
            <w:r>
              <w:t xml:space="preserve">In Australia, people with GD1 also have access to the Life Saving Drugs Program (LSDP), which provides four subsidised medicines: </w:t>
            </w:r>
            <w:proofErr w:type="spellStart"/>
            <w:r w:rsidRPr="00E15C6E">
              <w:t>imiglucerase</w:t>
            </w:r>
            <w:proofErr w:type="spellEnd"/>
            <w:r w:rsidRPr="00E15C6E">
              <w:t xml:space="preserve">, </w:t>
            </w:r>
            <w:proofErr w:type="spellStart"/>
            <w:r w:rsidRPr="00E15C6E">
              <w:t>velaglucerase</w:t>
            </w:r>
            <w:proofErr w:type="spellEnd"/>
            <w:r w:rsidRPr="00E15C6E">
              <w:t xml:space="preserve">, </w:t>
            </w:r>
            <w:proofErr w:type="spellStart"/>
            <w:r w:rsidRPr="00E15C6E">
              <w:t>taliglucerase</w:t>
            </w:r>
            <w:proofErr w:type="spellEnd"/>
            <w:r w:rsidRPr="00E15C6E">
              <w:t xml:space="preserve"> and </w:t>
            </w:r>
            <w:proofErr w:type="spellStart"/>
            <w:r w:rsidRPr="00E15C6E">
              <w:t>miglustat</w:t>
            </w:r>
            <w:proofErr w:type="spellEnd"/>
            <w:r>
              <w:t xml:space="preserve">. Under the LSDP the patients are required to remain in the same </w:t>
            </w:r>
            <w:r>
              <w:lastRenderedPageBreak/>
              <w:t>medicine for at least 12 months</w:t>
            </w:r>
            <w:r w:rsidR="00E90162">
              <w:t xml:space="preserve"> </w:t>
            </w:r>
            <w:r>
              <w:fldChar w:fldCharType="begin"/>
            </w:r>
            <w:r>
              <w:instrText xml:space="preserve"> ADDIN EN.CITE &lt;EndNote&gt;&lt;Cite&gt;&lt;Author&gt;Department of Health&lt;/Author&gt;&lt;Year&gt;2018&lt;/Year&gt;&lt;RecNum&gt;81&lt;/RecNum&gt;&lt;DisplayText&gt;(Department of Health, 2018)&lt;/DisplayText&gt;&lt;record&gt;&lt;rec-number&gt;81&lt;/rec-number&gt;&lt;foreign-keys&gt;&lt;key app="EN" db-id="tvd2x2aeprp90te22eox9tvxfe2a0xv0tdfs" timestamp="1626415426"&gt;81&lt;/key&gt;&lt;/foreign-keys&gt;&lt;ref-type name="Web Page"&gt;12&lt;/ref-type&gt;&lt;contributors&gt;&lt;authors&gt;&lt;author&gt;Department of Health,&lt;/author&gt;&lt;/authors&gt;&lt;secondary-authors&gt;&lt;author&gt;Australian Government&lt;/author&gt;&lt;/secondary-authors&gt;&lt;/contributors&gt;&lt;titles&gt;&lt;title&gt;Life Saving Drugs Program – Gaucher disease (type 1) – Guidelines&lt;/title&gt;&lt;/titles&gt;&lt;volume&gt;2021&lt;/volume&gt;&lt;number&gt;16 July&lt;/number&gt;&lt;dates&gt;&lt;year&gt;2018&lt;/year&gt;&lt;/dates&gt;&lt;urls&gt;&lt;related-urls&gt;&lt;url&gt;https://www.health.gov.au/resources/publications/lsdp-gaucher-guidelines&lt;/url&gt;&lt;/related-urls&gt;&lt;/urls&gt;&lt;/record&gt;&lt;/Cite&gt;&lt;/EndNote&gt;</w:instrText>
            </w:r>
            <w:r>
              <w:fldChar w:fldCharType="separate"/>
            </w:r>
            <w:r>
              <w:rPr>
                <w:noProof/>
              </w:rPr>
              <w:t>(Department of Health, 2018)</w:t>
            </w:r>
            <w:r>
              <w:fldChar w:fldCharType="end"/>
            </w:r>
            <w:r>
              <w:t>.</w:t>
            </w:r>
          </w:p>
          <w:p w14:paraId="3DD798E9" w14:textId="77777777" w:rsidR="003B2EF3" w:rsidRPr="00FA4A2E" w:rsidRDefault="003B2EF3" w:rsidP="00024485">
            <w:pPr>
              <w:pStyle w:val="Tabletext"/>
            </w:pPr>
            <w:r>
              <w:t xml:space="preserve">Patients should be managed by a multidisciplinary team. </w:t>
            </w:r>
            <w:r w:rsidRPr="00753160">
              <w:t xml:space="preserve">For persons not receiving ERT or SRT, symptomatic treatment includes partial or total splenectomy for massive splenomegaly and thrombocytopenia. Supportive care may </w:t>
            </w:r>
            <w:proofErr w:type="gramStart"/>
            <w:r w:rsidRPr="00753160">
              <w:t>include:</w:t>
            </w:r>
            <w:proofErr w:type="gramEnd"/>
            <w:r w:rsidRPr="00753160">
              <w:t xml:space="preserve"> transfusion of blood products for severe anaemia and bleeding; analgesics for bone pain; joint replacement surgery for relief from chronic pain and restoration of function; and anti-bone resorptive agents, calcium, and vitamin D for osteoporosis. The use of anticoagulants in individuals with severe thrombocytopenia and/or coagulopathy should be discussed with a haematologist to avoid the po</w:t>
            </w:r>
            <w:r>
              <w:t xml:space="preserve">ssibility of excessive bleeding </w:t>
            </w:r>
            <w:r>
              <w:fldChar w:fldCharType="begin"/>
            </w:r>
            <w:r>
              <w:instrText xml:space="preserve"> ADDIN EN.CITE &lt;EndNote&gt;&lt;Cite&gt;&lt;Author&gt;Pastores&lt;/Author&gt;&lt;Year&gt;2018&lt;/Year&gt;&lt;RecNum&gt;59&lt;/RecNum&gt;&lt;DisplayText&gt;(Pastores &amp;amp; Hughes, 2018)&lt;/DisplayText&gt;&lt;record&gt;&lt;rec-number&gt;59&lt;/rec-number&gt;&lt;foreign-keys&gt;&lt;key app="EN" db-id="tvd2x2aeprp90te22eox9tvxfe2a0xv0tdfs" timestamp="1623373160"&gt;59&lt;/key&gt;&lt;/foreign-keys&gt;&lt;ref-type name="Web Page"&gt;12&lt;/ref-type&gt;&lt;contributors&gt;&lt;authors&gt;&lt;author&gt;Pastores, G.M.&lt;/author&gt;&lt;author&gt;Hughes, D.A.&lt;/author&gt;&lt;/authors&gt;&lt;secondary-authors&gt;&lt;author&gt;Adam, M.P.&lt;/author&gt;&lt;author&gt;Ardinger, H.H.&lt;/author&gt;&lt;author&gt;Pagon, R.A.&lt;/author&gt;&lt;/secondary-authors&gt;&lt;/contributors&gt;&lt;titles&gt;&lt;title&gt;Gaucher Disease&lt;/title&gt;&lt;secondary-title&gt;GeneReviews®&lt;/secondary-title&gt;&lt;/titles&gt;&lt;volume&gt;2020&lt;/volume&gt;&lt;number&gt;25th August&lt;/number&gt;&lt;dates&gt;&lt;year&gt;2018&lt;/year&gt;&lt;/dates&gt;&lt;pub-location&gt;Seattle&lt;/pub-location&gt;&lt;publisher&gt;University of Washington&lt;/publisher&gt;&lt;urls&gt;&lt;related-urls&gt;&lt;url&gt;https://www.ncbi.nlm.nih.gov/books/NBK1269/&lt;/url&gt;&lt;/related-urls&gt;&lt;/urls&gt;&lt;/record&gt;&lt;/Cite&gt;&lt;/EndNote&gt;</w:instrText>
            </w:r>
            <w:r>
              <w:fldChar w:fldCharType="separate"/>
            </w:r>
            <w:r>
              <w:rPr>
                <w:noProof/>
              </w:rPr>
              <w:t>(Pastores &amp; Hughes, 2018)</w:t>
            </w:r>
            <w:r>
              <w:fldChar w:fldCharType="end"/>
            </w:r>
            <w:r>
              <w:t>.</w:t>
            </w:r>
          </w:p>
        </w:tc>
        <w:tc>
          <w:tcPr>
            <w:tcW w:w="674" w:type="pct"/>
            <w:tcBorders>
              <w:top w:val="single" w:sz="4" w:space="0" w:color="auto"/>
              <w:bottom w:val="single" w:sz="4" w:space="0" w:color="auto"/>
            </w:tcBorders>
          </w:tcPr>
          <w:p w14:paraId="13120A20" w14:textId="77777777" w:rsidR="003B2EF3" w:rsidRDefault="003B2EF3" w:rsidP="00024485">
            <w:pPr>
              <w:pStyle w:val="Tabletext"/>
            </w:pPr>
            <w:r w:rsidRPr="0025628E">
              <w:rPr>
                <w:bCs/>
              </w:rPr>
              <w:lastRenderedPageBreak/>
              <w:t>Prevalence</w:t>
            </w:r>
            <w:r>
              <w:t xml:space="preserve"> in general population:</w:t>
            </w:r>
            <w:r>
              <w:br/>
              <w:t xml:space="preserve">Type 1 GD </w:t>
            </w:r>
            <w:r w:rsidRPr="000F18C3">
              <w:t>1</w:t>
            </w:r>
            <w:r>
              <w:t>:</w:t>
            </w:r>
            <w:r w:rsidRPr="000F18C3">
              <w:t>30</w:t>
            </w:r>
            <w:r>
              <w:t>,</w:t>
            </w:r>
            <w:r w:rsidRPr="000F18C3">
              <w:t xml:space="preserve">000 to </w:t>
            </w:r>
            <w:r>
              <w:br/>
            </w:r>
            <w:r w:rsidRPr="000F18C3">
              <w:t>1</w:t>
            </w:r>
            <w:r>
              <w:t>:</w:t>
            </w:r>
            <w:r w:rsidRPr="000F18C3">
              <w:t>40</w:t>
            </w:r>
            <w:r>
              <w:t>,</w:t>
            </w:r>
            <w:r w:rsidRPr="000F18C3">
              <w:t>000</w:t>
            </w:r>
            <w:r>
              <w:br/>
              <w:t>Type 2 &amp; 3 GD &lt;</w:t>
            </w:r>
            <w:r w:rsidRPr="000F18C3">
              <w:t>1</w:t>
            </w:r>
            <w:r>
              <w:t>:</w:t>
            </w:r>
            <w:r w:rsidRPr="000F18C3">
              <w:t>100</w:t>
            </w:r>
            <w:r>
              <w:t>,</w:t>
            </w:r>
            <w:r w:rsidRPr="000F18C3">
              <w:t>000</w:t>
            </w:r>
            <w:r>
              <w:t xml:space="preserve"> </w:t>
            </w:r>
            <w:r>
              <w:fldChar w:fldCharType="begin">
                <w:fldData xml:space="preserve">PEVuZE5vdGU+PENpdGU+PEF1dGhvcj5KYWZmZTwvQXV0aG9yPjxZZWFyPjIwMTk8L1llYXI+PFJl
Y051bT42MDwvUmVjTnVtPjxJRFRleHQ+MzA2NzA1MTc8L0lEVGV4dD48RGlzcGxheVRleHQ+KEph
ZmZlIGV0IGFsLiwgMjAxOSk8L0Rpc3BsYXlUZXh0PjxyZWNvcmQ+PHJlYy1udW1iZXI+NjA8L3Jl
Yy1udW1iZXI+PGZvcmVpZ24ta2V5cz48a2V5IGFwcD0iRU4iIGRiLWlkPSJ0dmQyeDJhZXBycDkw
dGUyMmVveDl0dnhmZTJhMHh2MHRkZnMiIHRpbWVzdGFtcD0iMTYyMzM3MzE2MCI+NjA8L2tleT48
L2ZvcmVpZ24ta2V5cz48cmVmLXR5cGUgbmFtZT0iSm91cm5hbCBBcnRpY2xlIj4xNzwvcmVmLXR5
cGU+PGNvbnRyaWJ1dG9ycz48YXV0aG9ycz48YXV0aG9yPkphZmZlLCBELiBILjwvYXV0aG9yPjxh
dXRob3I+Rmxha3MtTWFub3YsIE4uPC9hdXRob3I+PGF1dGhvcj5CZW5pcywgQS48L2F1dGhvcj48
YXV0aG9yPkdhYmF5LCBILjwvYXV0aG9yPjxhdXRob3I+RGlCb25hdmVudHVyYSwgTS48L2F1dGhv
cj48YXV0aG9yPlJvc2VuYmF1bSwgSC48L2F1dGhvcj48YXV0aG9yPkpvc2VwaCwgQS48L2F1dGhv
cj48YXV0aG9yPkJhY2hyYWNoLCBBLjwvYXV0aG9yPjxhdXRob3I+TGV2ZW50ZXItUm9iZXJ0cywg
TS48L2F1dGhvcj48L2F1dGhvcnM+PC9jb250cmlidXRvcnM+PGF1dGgtYWRkcmVzcz5IZWFsdGgg
T3V0Y29tZXMgUHJhY3RpY2UsIEthbnRhciBIZWFsdGgsIFRlbCBBdml2LCBJc3JhZWwuJiN4RDtD
bGFsaXQgUmVzZWFyY2ggSW5zdGl0dXRlLCBDbGFsaXQgSGVhbHRoIFNlcnZpY2VzLCBUZWwgQXZp
diwgSXNyYWVsLiYjeEQ7SGVhbHRoIE91dGNvbWVzIFByYWN0aWNlLCBLYW50YXIgSGVhbHRoLCBO
ZXcgWW9yayBDaXR5LCBOZXcgWW9yaywgVVNBLiYjeEQ7RGVwYXJ0bWVudCBvZiBPbmNvbG9neSwg
Q2xhbGl0IE1lZGljYWwgQ2VudGVyLCBOYXphcmV0aCwgSXNyYWVsLiYjeEQ7SGVhbHRoIEVjb25v
bWljcyBhbmQgSGVhbHRoIE91dGNvbWVzLCBTaGlyZSBHbWJIIFp1ZywgWnVnLCBTd2l0emVybGFu
ZC48L2F1dGgtYWRkcmVzcz48dGl0bGVzPjx0aXRsZT5Qb3B1bGF0aW9uLWJhc2VkIGNvaG9ydCBv
ZiA1MDAgcGF0aWVudHMgd2l0aCBHYXVjaGVyIGRpc2Vhc2UgaW4gSXNyYWVsPC90aXRsZT48c2Vj
b25kYXJ5LXRpdGxlPkJNSiBPcGVuPC9zZWNvbmRhcnktdGl0bGU+PC90aXRsZXM+PHBlcmlvZGlj
YWw+PGZ1bGwtdGl0bGU+Qk1KIE9wZW48L2Z1bGwtdGl0bGU+PC9wZXJpb2RpY2FsPjxwYWdlcz5l
MDI0MjUxPC9wYWdlcz48dm9sdW1lPjk8L3ZvbHVtZT48bnVtYmVyPjE8L251bWJlcj48ZWRpdGlv
bj4yMDE5LzAxLzI0PC9lZGl0aW9uPjxrZXl3b3Jkcz48a2V5d29yZD5BZG9sZXNjZW50PC9rZXl3
b3JkPjxrZXl3b3JkPkFkdWx0PC9rZXl3b3JkPjxrZXl3b3JkPkFnZSBEaXN0cmlidXRpb248L2tl
eXdvcmQ+PGtleXdvcmQ+QWdlZDwva2V5d29yZD48a2V5d29yZD5BZ2VkLCA4MCBhbmQgb3Zlcjwv
a2V5d29yZD48a2V5d29yZD5BbmVtaWEvZXBpZGVtaW9sb2d5PC9rZXl3b3JkPjxrZXl3b3JkPkJv
bmUgRGlzZWFzZXMvZXBpZGVtaW9sb2d5PC9rZXl3b3JkPjxrZXl3b3JkPkNoaWxkPC9rZXl3b3Jk
PjxrZXl3b3JkPkNoaWxkLCBQcmVzY2hvb2w8L2tleXdvcmQ+PGtleXdvcmQ+Q29ob3J0IFN0dWRp
ZXM8L2tleXdvcmQ+PGtleXdvcmQ+Q3Jvc3MtU2VjdGlvbmFsIFN0dWRpZXM8L2tleXdvcmQ+PGtl
eXdvcmQ+RW56eW1lIFJlcGxhY2VtZW50IFRoZXJhcHkvc3RhdGlzdGljcyAmYW1wOyBudW1lcmlj
YWwgZGF0YTwva2V5d29yZD48a2V5d29yZD5GZW1hbGU8L2tleXdvcmQ+PGtleXdvcmQ+R2F1Y2hl
ciBEaXNlYXNlL2RydWcgdGhlcmFweS8qZXBpZGVtaW9sb2d5PC9rZXl3b3JkPjxrZXl3b3JkPkh1
bWFuczwva2V5d29yZD48a2V5d29yZD5JbmZhbnQ8L2tleXdvcmQ+PGtleXdvcmQ+SW5mYW50LCBO
ZXdib3JuPC9rZXl3b3JkPjxrZXl3b3JkPklzcmFlbC9lcGlkZW1pb2xvZ3k8L2tleXdvcmQ+PGtl
eXdvcmQ+TWFsZTwva2V5d29yZD48a2V5d29yZD5NaWRkbGUgQWdlZDwva2V5d29yZD48a2V5d29y
ZD5OZW9wbGFzbXMvZXBpZGVtaW9sb2d5PC9rZXl3b3JkPjxrZXl3b3JkPk9iZXNpdHkvZXBpZGVt
aW9sb2d5PC9rZXl3b3JkPjxrZXl3b3JkPk92ZXJ3ZWlnaHQvZXBpZGVtaW9sb2d5PC9rZXl3b3Jk
PjxrZXl3b3JkPlNldmVyaXR5IG9mIElsbG5lc3MgSW5kZXg8L2tleXdvcmQ+PGtleXdvcmQ+U29j
aWFsIENsYXNzPC9rZXl3b3JkPjxrZXl3b3JkPlRocm9tYm9jeXRvcGVuaWEvZXBpZGVtaW9sb2d5
PC9rZXl3b3JkPjxrZXl3b3JkPllvdW5nIEFkdWx0PC9rZXl3b3JkPjxrZXl3b3JkPiplbGVjdHJv
bmljIGhlYWx0aCByZWNvcmRzPC9rZXl3b3JkPjxrZXl3b3JkPiplbnp5bWUgcmVwbGFjZW1lbnQg
dGhlcmFweTwva2V5d29yZD48a2V5d29yZD4qZXJ0PC9rZXl3b3JkPjxrZXl3b3JkPipnYXVjaGVy
IGRpc2Vhc2U8L2tleXdvcmQ+PGtleXdvcmQ+YW5kIE1EIHdhcyBlbXBsb3llZCBieSBLYW50YXIg
SGVhbHRoLCB3aGljaCByZWNlaXZlZCBmZWVzIGZyb20gU2hpcmUgZm9yIGRhdGE8L2tleXdvcmQ+
PGtleXdvcmQ+YW5hbHlzaXMgYW5kIHJlcG9ydGluZyBvZiB0aGlzIHN0dWR5LiBBSiB3YXMgZnVs
bC10aW1lIGVtcGxveWVlIG9mIFNoaXJlIGF0IHRoZSB0aW1lPC9rZXl3b3JkPjxrZXl3b3JkPm9m
IHRoZSBzdHVkeS48L2tleXdvcmQ+PC9rZXl3b3Jkcz48ZGF0ZXM+PHllYXI+MjAxOTwveWVhcj48
cHViLWRhdGVzPjxkYXRlPkphbiAyMTwvZGF0ZT48L3B1Yi1kYXRlcz48L2RhdGVzPjxpc2JuPjIw
NDQtNjA1NTwvaXNibj48YWNjZXNzaW9uLW51bT4zMDY3MDUxNzwvYWNjZXNzaW9uLW51bT48dXJs
cz48cmVsYXRlZC11cmxzPjx1cmw+aHR0cHM6Ly93d3cubmNiaS5ubG0ubmloLmdvdi9wbWMvYXJ0
aWNsZXMvUE1DNjM0Nzg4Ny9wZGYvYm1qb3Blbi0yMDE4LTAyNDI1MS5wZGY8L3VybD48L3JlbGF0
ZWQtdXJscz48L3VybHM+PGN1c3RvbTI+UE1DNjM0Nzg4NzwvY3VzdG9tMj48ZWxlY3Ryb25pYy1y
ZXNvdXJjZS1udW0+MTAuMTEzNi9ibWpvcGVuLTIwMTgtMDI0MjUxPC9lbGVjdHJvbmljLXJlc291
cmNlLW51bT48cmVtb3RlLWRhdGFiYXNlLXByb3ZpZGVyPk5MTTwvcmVtb3RlLWRhdGFiYXNlLXBy
b3ZpZGVyPjxsYW5ndWFnZT5lbmc8L2xhbmd1YWdlPjwvcmVjb3JkPjwvQ2l0ZT48L0VuZE5vdGU+
</w:fldData>
              </w:fldChar>
            </w:r>
            <w:r>
              <w:instrText xml:space="preserve"> ADDIN EN.CITE </w:instrText>
            </w:r>
            <w:r>
              <w:fldChar w:fldCharType="begin">
                <w:fldData xml:space="preserve">PEVuZE5vdGU+PENpdGU+PEF1dGhvcj5KYWZmZTwvQXV0aG9yPjxZZWFyPjIwMTk8L1llYXI+PFJl
Y051bT42MDwvUmVjTnVtPjxJRFRleHQ+MzA2NzA1MTc8L0lEVGV4dD48RGlzcGxheVRleHQ+KEph
ZmZlIGV0IGFsLiwgMjAxOSk8L0Rpc3BsYXlUZXh0PjxyZWNvcmQ+PHJlYy1udW1iZXI+NjA8L3Jl
Yy1udW1iZXI+PGZvcmVpZ24ta2V5cz48a2V5IGFwcD0iRU4iIGRiLWlkPSJ0dmQyeDJhZXBycDkw
dGUyMmVveDl0dnhmZTJhMHh2MHRkZnMiIHRpbWVzdGFtcD0iMTYyMzM3MzE2MCI+NjA8L2tleT48
L2ZvcmVpZ24ta2V5cz48cmVmLXR5cGUgbmFtZT0iSm91cm5hbCBBcnRpY2xlIj4xNzwvcmVmLXR5
cGU+PGNvbnRyaWJ1dG9ycz48YXV0aG9ycz48YXV0aG9yPkphZmZlLCBELiBILjwvYXV0aG9yPjxh
dXRob3I+Rmxha3MtTWFub3YsIE4uPC9hdXRob3I+PGF1dGhvcj5CZW5pcywgQS48L2F1dGhvcj48
YXV0aG9yPkdhYmF5LCBILjwvYXV0aG9yPjxhdXRob3I+RGlCb25hdmVudHVyYSwgTS48L2F1dGhv
cj48YXV0aG9yPlJvc2VuYmF1bSwgSC48L2F1dGhvcj48YXV0aG9yPkpvc2VwaCwgQS48L2F1dGhv
cj48YXV0aG9yPkJhY2hyYWNoLCBBLjwvYXV0aG9yPjxhdXRob3I+TGV2ZW50ZXItUm9iZXJ0cywg
TS48L2F1dGhvcj48L2F1dGhvcnM+PC9jb250cmlidXRvcnM+PGF1dGgtYWRkcmVzcz5IZWFsdGgg
T3V0Y29tZXMgUHJhY3RpY2UsIEthbnRhciBIZWFsdGgsIFRlbCBBdml2LCBJc3JhZWwuJiN4RDtD
bGFsaXQgUmVzZWFyY2ggSW5zdGl0dXRlLCBDbGFsaXQgSGVhbHRoIFNlcnZpY2VzLCBUZWwgQXZp
diwgSXNyYWVsLiYjeEQ7SGVhbHRoIE91dGNvbWVzIFByYWN0aWNlLCBLYW50YXIgSGVhbHRoLCBO
ZXcgWW9yayBDaXR5LCBOZXcgWW9yaywgVVNBLiYjeEQ7RGVwYXJ0bWVudCBvZiBPbmNvbG9neSwg
Q2xhbGl0IE1lZGljYWwgQ2VudGVyLCBOYXphcmV0aCwgSXNyYWVsLiYjeEQ7SGVhbHRoIEVjb25v
bWljcyBhbmQgSGVhbHRoIE91dGNvbWVzLCBTaGlyZSBHbWJIIFp1ZywgWnVnLCBTd2l0emVybGFu
ZC48L2F1dGgtYWRkcmVzcz48dGl0bGVzPjx0aXRsZT5Qb3B1bGF0aW9uLWJhc2VkIGNvaG9ydCBv
ZiA1MDAgcGF0aWVudHMgd2l0aCBHYXVjaGVyIGRpc2Vhc2UgaW4gSXNyYWVsPC90aXRsZT48c2Vj
b25kYXJ5LXRpdGxlPkJNSiBPcGVuPC9zZWNvbmRhcnktdGl0bGU+PC90aXRsZXM+PHBlcmlvZGlj
YWw+PGZ1bGwtdGl0bGU+Qk1KIE9wZW48L2Z1bGwtdGl0bGU+PC9wZXJpb2RpY2FsPjxwYWdlcz5l
MDI0MjUxPC9wYWdlcz48dm9sdW1lPjk8L3ZvbHVtZT48bnVtYmVyPjE8L251bWJlcj48ZWRpdGlv
bj4yMDE5LzAxLzI0PC9lZGl0aW9uPjxrZXl3b3Jkcz48a2V5d29yZD5BZG9sZXNjZW50PC9rZXl3
b3JkPjxrZXl3b3JkPkFkdWx0PC9rZXl3b3JkPjxrZXl3b3JkPkFnZSBEaXN0cmlidXRpb248L2tl
eXdvcmQ+PGtleXdvcmQ+QWdlZDwva2V5d29yZD48a2V5d29yZD5BZ2VkLCA4MCBhbmQgb3Zlcjwv
a2V5d29yZD48a2V5d29yZD5BbmVtaWEvZXBpZGVtaW9sb2d5PC9rZXl3b3JkPjxrZXl3b3JkPkJv
bmUgRGlzZWFzZXMvZXBpZGVtaW9sb2d5PC9rZXl3b3JkPjxrZXl3b3JkPkNoaWxkPC9rZXl3b3Jk
PjxrZXl3b3JkPkNoaWxkLCBQcmVzY2hvb2w8L2tleXdvcmQ+PGtleXdvcmQ+Q29ob3J0IFN0dWRp
ZXM8L2tleXdvcmQ+PGtleXdvcmQ+Q3Jvc3MtU2VjdGlvbmFsIFN0dWRpZXM8L2tleXdvcmQ+PGtl
eXdvcmQ+RW56eW1lIFJlcGxhY2VtZW50IFRoZXJhcHkvc3RhdGlzdGljcyAmYW1wOyBudW1lcmlj
YWwgZGF0YTwva2V5d29yZD48a2V5d29yZD5GZW1hbGU8L2tleXdvcmQ+PGtleXdvcmQ+R2F1Y2hl
ciBEaXNlYXNlL2RydWcgdGhlcmFweS8qZXBpZGVtaW9sb2d5PC9rZXl3b3JkPjxrZXl3b3JkPkh1
bWFuczwva2V5d29yZD48a2V5d29yZD5JbmZhbnQ8L2tleXdvcmQ+PGtleXdvcmQ+SW5mYW50LCBO
ZXdib3JuPC9rZXl3b3JkPjxrZXl3b3JkPklzcmFlbC9lcGlkZW1pb2xvZ3k8L2tleXdvcmQ+PGtl
eXdvcmQ+TWFsZTwva2V5d29yZD48a2V5d29yZD5NaWRkbGUgQWdlZDwva2V5d29yZD48a2V5d29y
ZD5OZW9wbGFzbXMvZXBpZGVtaW9sb2d5PC9rZXl3b3JkPjxrZXl3b3JkPk9iZXNpdHkvZXBpZGVt
aW9sb2d5PC9rZXl3b3JkPjxrZXl3b3JkPk92ZXJ3ZWlnaHQvZXBpZGVtaW9sb2d5PC9rZXl3b3Jk
PjxrZXl3b3JkPlNldmVyaXR5IG9mIElsbG5lc3MgSW5kZXg8L2tleXdvcmQ+PGtleXdvcmQ+U29j
aWFsIENsYXNzPC9rZXl3b3JkPjxrZXl3b3JkPlRocm9tYm9jeXRvcGVuaWEvZXBpZGVtaW9sb2d5
PC9rZXl3b3JkPjxrZXl3b3JkPllvdW5nIEFkdWx0PC9rZXl3b3JkPjxrZXl3b3JkPiplbGVjdHJv
bmljIGhlYWx0aCByZWNvcmRzPC9rZXl3b3JkPjxrZXl3b3JkPiplbnp5bWUgcmVwbGFjZW1lbnQg
dGhlcmFweTwva2V5d29yZD48a2V5d29yZD4qZXJ0PC9rZXl3b3JkPjxrZXl3b3JkPipnYXVjaGVy
IGRpc2Vhc2U8L2tleXdvcmQ+PGtleXdvcmQ+YW5kIE1EIHdhcyBlbXBsb3llZCBieSBLYW50YXIg
SGVhbHRoLCB3aGljaCByZWNlaXZlZCBmZWVzIGZyb20gU2hpcmUgZm9yIGRhdGE8L2tleXdvcmQ+
PGtleXdvcmQ+YW5hbHlzaXMgYW5kIHJlcG9ydGluZyBvZiB0aGlzIHN0dWR5LiBBSiB3YXMgZnVs
bC10aW1lIGVtcGxveWVlIG9mIFNoaXJlIGF0IHRoZSB0aW1lPC9rZXl3b3JkPjxrZXl3b3JkPm9m
IHRoZSBzdHVkeS48L2tleXdvcmQ+PC9rZXl3b3Jkcz48ZGF0ZXM+PHllYXI+MjAxOTwveWVhcj48
cHViLWRhdGVzPjxkYXRlPkphbiAyMTwvZGF0ZT48L3B1Yi1kYXRlcz48L2RhdGVzPjxpc2JuPjIw
NDQtNjA1NTwvaXNibj48YWNjZXNzaW9uLW51bT4zMDY3MDUxNzwvYWNjZXNzaW9uLW51bT48dXJs
cz48cmVsYXRlZC11cmxzPjx1cmw+aHR0cHM6Ly93d3cubmNiaS5ubG0ubmloLmdvdi9wbWMvYXJ0
aWNsZXMvUE1DNjM0Nzg4Ny9wZGYvYm1qb3Blbi0yMDE4LTAyNDI1MS5wZGY8L3VybD48L3JlbGF0
ZWQtdXJscz48L3VybHM+PGN1c3RvbTI+UE1DNjM0Nzg4NzwvY3VzdG9tMj48ZWxlY3Ryb25pYy1y
ZXNvdXJjZS1udW0+MTAuMTEzNi9ibWpvcGVuLTIwMTgtMDI0MjUxPC9lbGVjdHJvbmljLXJlc291
cmNlLW51bT48cmVtb3RlLWRhdGFiYXNlLXByb3ZpZGVyPk5MTTwvcmVtb3RlLWRhdGFiYXNlLXBy
b3ZpZGVyPjxsYW5ndWFnZT5lbmc8L2xhbmd1YWdlPjwvcmVjb3JkPjwvQ2l0ZT48L0VuZE5vdGU+
</w:fldData>
              </w:fldChar>
            </w:r>
            <w:r>
              <w:instrText xml:space="preserve"> ADDIN EN.CITE.DATA </w:instrText>
            </w:r>
            <w:r>
              <w:fldChar w:fldCharType="end"/>
            </w:r>
            <w:r>
              <w:fldChar w:fldCharType="separate"/>
            </w:r>
            <w:r>
              <w:rPr>
                <w:noProof/>
              </w:rPr>
              <w:t>(Jaffe et al., 2019)</w:t>
            </w:r>
            <w:r>
              <w:fldChar w:fldCharType="end"/>
            </w:r>
          </w:p>
          <w:p w14:paraId="361B1B2F" w14:textId="76291993" w:rsidR="003B2EF3" w:rsidRDefault="003B2EF3" w:rsidP="00024485">
            <w:pPr>
              <w:pStyle w:val="Tabletext"/>
            </w:pPr>
            <w:r>
              <w:t>Incidence</w:t>
            </w:r>
            <w:r w:rsidRPr="00FC4678">
              <w:t xml:space="preserve"> </w:t>
            </w:r>
            <w:r>
              <w:t xml:space="preserve">in </w:t>
            </w:r>
            <w:r w:rsidR="00666B40">
              <w:t>Ashkenazi Jewish</w:t>
            </w:r>
            <w:r w:rsidR="00F84B1C">
              <w:t xml:space="preserve"> </w:t>
            </w:r>
            <w:r>
              <w:t xml:space="preserve">population: </w:t>
            </w:r>
            <w:r>
              <w:br/>
            </w:r>
            <w:r w:rsidRPr="00FC4678">
              <w:t>1</w:t>
            </w:r>
            <w:r>
              <w:t>:</w:t>
            </w:r>
            <w:r w:rsidRPr="00FC4678">
              <w:t>850</w:t>
            </w:r>
            <w:r>
              <w:t xml:space="preserve"> </w: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Pr>
                <w:noProof/>
              </w:rPr>
              <w:t>(Stirnemann et al., 2017)</w:t>
            </w:r>
            <w:r>
              <w:fldChar w:fldCharType="end"/>
            </w:r>
          </w:p>
          <w:p w14:paraId="48EE9E55" w14:textId="77777777" w:rsidR="003B2EF3" w:rsidRPr="00FA4A2E" w:rsidRDefault="003B2EF3" w:rsidP="00024485">
            <w:pPr>
              <w:pStyle w:val="Tabletext"/>
            </w:pPr>
            <w:r w:rsidRPr="009C6707">
              <w:rPr>
                <w:bCs/>
              </w:rPr>
              <w:lastRenderedPageBreak/>
              <w:t>Carrier frequency</w:t>
            </w:r>
            <w:r>
              <w:rPr>
                <w:bCs/>
              </w:rPr>
              <w:br/>
            </w:r>
            <w:r>
              <w:t xml:space="preserve">1:18 </w: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 </w:instrTex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EN.CITE.DATA </w:instrText>
            </w:r>
            <w:r>
              <w:fldChar w:fldCharType="end"/>
            </w:r>
            <w:r>
              <w:fldChar w:fldCharType="separate"/>
            </w:r>
            <w:r>
              <w:rPr>
                <w:noProof/>
              </w:rPr>
              <w:t>(Wilson et al., 2016)</w:t>
            </w:r>
            <w:r>
              <w:fldChar w:fldCharType="end"/>
            </w:r>
          </w:p>
        </w:tc>
        <w:tc>
          <w:tcPr>
            <w:tcW w:w="1126" w:type="pct"/>
            <w:tcBorders>
              <w:top w:val="single" w:sz="4" w:space="0" w:color="auto"/>
              <w:bottom w:val="single" w:sz="4" w:space="0" w:color="auto"/>
            </w:tcBorders>
          </w:tcPr>
          <w:p w14:paraId="053D0EEE" w14:textId="77777777" w:rsidR="003B2EF3" w:rsidRDefault="003B2EF3" w:rsidP="00024485">
            <w:pPr>
              <w:pStyle w:val="Tabletext"/>
            </w:pPr>
            <w:r w:rsidRPr="006D419F">
              <w:lastRenderedPageBreak/>
              <w:t>More than 300 GBA</w:t>
            </w:r>
            <w:r>
              <w:t xml:space="preserve"> </w:t>
            </w:r>
            <w:r w:rsidRPr="006D419F">
              <w:t xml:space="preserve">mutations have been described in the </w:t>
            </w:r>
            <w:r w:rsidRPr="00D02768">
              <w:rPr>
                <w:i/>
                <w:iCs/>
              </w:rPr>
              <w:t>GBA1</w:t>
            </w:r>
            <w:r w:rsidRPr="006D419F">
              <w:t xml:space="preserve"> gene</w:t>
            </w:r>
            <w:r>
              <w:t>.</w:t>
            </w:r>
          </w:p>
          <w:p w14:paraId="12727118" w14:textId="68A15FBC" w:rsidR="003B2EF3" w:rsidRDefault="003B2EF3" w:rsidP="00024485">
            <w:pPr>
              <w:pStyle w:val="Tabletext"/>
            </w:pPr>
            <w:r>
              <w:t>4</w:t>
            </w:r>
            <w:r w:rsidRPr="004D02CF">
              <w:t xml:space="preserve"> pathogenic variants in the </w:t>
            </w:r>
            <w:r w:rsidRPr="00D02768">
              <w:rPr>
                <w:i/>
                <w:iCs/>
              </w:rPr>
              <w:t>GBA</w:t>
            </w:r>
            <w:r w:rsidRPr="004D02CF">
              <w:t xml:space="preserve"> gene account for 9</w:t>
            </w:r>
            <w:r>
              <w:t>0</w:t>
            </w:r>
            <w:r w:rsidRPr="004D02CF">
              <w:t xml:space="preserve">% of all </w:t>
            </w:r>
            <w:r w:rsidR="00666B40">
              <w:t xml:space="preserve">Ashkenazi Jewish </w:t>
            </w:r>
            <w:r w:rsidRPr="004D02CF">
              <w:t xml:space="preserve">cases </w:t>
            </w:r>
            <w:r>
              <w:t xml:space="preserve">and 50-60% </w:t>
            </w:r>
            <w:r w:rsidRPr="004D02CF">
              <w:t>of</w:t>
            </w:r>
            <w:r>
              <w:t xml:space="preserve"> cases in the general population</w:t>
            </w:r>
          </w:p>
          <w:p w14:paraId="4B6954C6" w14:textId="77777777" w:rsidR="003B2EF3" w:rsidRPr="004D02CF" w:rsidRDefault="003B2EF3" w:rsidP="00024485">
            <w:pPr>
              <w:pStyle w:val="Tabletext"/>
              <w:rPr>
                <w:bCs/>
              </w:rPr>
            </w:pPr>
            <w:r w:rsidRPr="004D02CF">
              <w:rPr>
                <w:bCs/>
              </w:rPr>
              <w:t>c.84dupG</w:t>
            </w:r>
          </w:p>
          <w:p w14:paraId="22E60C78" w14:textId="77777777" w:rsidR="003B2EF3" w:rsidRPr="004D02CF" w:rsidRDefault="003B2EF3" w:rsidP="00024485">
            <w:pPr>
              <w:pStyle w:val="Tabletext"/>
              <w:rPr>
                <w:bCs/>
              </w:rPr>
            </w:pPr>
            <w:r w:rsidRPr="004D02CF">
              <w:rPr>
                <w:bCs/>
              </w:rPr>
              <w:t>c.115+1G&gt;A</w:t>
            </w:r>
          </w:p>
          <w:p w14:paraId="6E791794" w14:textId="77777777" w:rsidR="003B2EF3" w:rsidRPr="004D02CF" w:rsidRDefault="003B2EF3" w:rsidP="00024485">
            <w:pPr>
              <w:pStyle w:val="Tabletext"/>
              <w:rPr>
                <w:bCs/>
              </w:rPr>
            </w:pPr>
            <w:proofErr w:type="gramStart"/>
            <w:r w:rsidRPr="004D02CF">
              <w:rPr>
                <w:bCs/>
              </w:rPr>
              <w:t>p.Asn</w:t>
            </w:r>
            <w:proofErr w:type="gramEnd"/>
            <w:r w:rsidRPr="004D02CF">
              <w:rPr>
                <w:bCs/>
              </w:rPr>
              <w:t>409Ser</w:t>
            </w:r>
          </w:p>
          <w:p w14:paraId="368A8D9D" w14:textId="77777777" w:rsidR="003B2EF3" w:rsidRPr="00132ECC" w:rsidRDefault="003B2EF3" w:rsidP="00024485">
            <w:pPr>
              <w:pStyle w:val="Tabletext"/>
            </w:pPr>
            <w:proofErr w:type="gramStart"/>
            <w:r w:rsidRPr="004D02CF">
              <w:rPr>
                <w:bCs/>
              </w:rPr>
              <w:t>p.Leu</w:t>
            </w:r>
            <w:proofErr w:type="gramEnd"/>
            <w:r w:rsidRPr="004D02CF">
              <w:rPr>
                <w:bCs/>
              </w:rPr>
              <w:t>483Pro</w:t>
            </w:r>
            <w:r>
              <w:rPr>
                <w:bCs/>
              </w:rPr>
              <w:t xml:space="preserve"> </w: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PEVuZE5vdGU+PENpdGU+PEF1dGhvcj5TdGlybmVtYW5uPC9BdXRob3I+PFllYXI+MjAxNzwvWWVh
cj48UmVjTnVtPjU4PC9SZWNOdW0+PElEVGV4dD4yODIxODY2OTwvSURUZXh0PjxEaXNwbGF5VGV4
dD4oU3Rpcm5lbWFubiBldCBhbC4sIDIwMTcpPC9EaXNwbGF5VGV4dD48cmVjb3JkPjxyZWMtbnVt
YmVyPjU4PC9yZWMtbnVtYmVyPjxmb3JlaWduLWtleXM+PGtleSBhcHA9IkVOIiBkYi1pZD0idHZk
MngyYWVwcnA5MHRlMjJlb3g5dHZ4ZmUyYTB4djB0ZGZzIiB0aW1lc3RhbXA9IjE2MjMzNzMxNjAi
PjU4PC9rZXk+PC9mb3JlaWduLWtleXM+PHJlZi10eXBlIG5hbWU9IkpvdXJuYWwgQXJ0aWNsZSI+
MTc8L3JlZi10eXBlPjxjb250cmlidXRvcnM+PGF1dGhvcnM+PGF1dGhvcj5TdGlybmVtYW5uLCBK
LjwvYXV0aG9yPjxhdXRob3I+QmVsbWF0b3VnLCBOLjwvYXV0aG9yPjxhdXRob3I+Q2Ftb3UsIEYu
PC9hdXRob3I+PGF1dGhvcj5TZXJyYXRyaWNlLCBDLjwvYXV0aG9yPjxhdXRob3I+RnJvaXNzYXJ0
LCBSLjwvYXV0aG9yPjxhdXRob3I+Q2FpbGxhdWQsIEMuPC9hdXRob3I+PGF1dGhvcj5MZXZhZGUs
IFQuPC9hdXRob3I+PGF1dGhvcj5Bc3R1ZGlsbG8sIEwuPC9hdXRob3I+PGF1dGhvcj5TZXJyYXRy
aWNlLCBKLjwvYXV0aG9yPjxhdXRob3I+QnJhc3NpZXIsIEEuPC9hdXRob3I+PGF1dGhvcj5Sb3Nl
LCBDLjwvYXV0aG9yPjxhdXRob3I+QmlsbGV0dGUgZGUgVmlsbGVtZXVyLCBULjwvYXV0aG9yPjxh
dXRob3I+QmVyZ2VyLCBNLiBHLjwvYXV0aG9yPjwvYXV0aG9ycz48L2NvbnRyaWJ1dG9ycz48YXV0
aC1hZGRyZXNzPkRlcGFydG1lbnQgb2YgSW50ZXJuYWwgTWVkaWNpbmUsIEdlbmV2YSBVbml2ZXJz
aXR5IEhvc3BpdGFsLCBSdWUgR2FicmllbGxlLVBlcnJldC1HZW50aWwgNCwgQ0gtMTIxMSBHZW7D
qHZlLCBTd2l0emVybGFuZC4gamVyb21lLnN0aXJuZW1hbm5AaGN1Z2UuY2guJiN4RDtEZXBhcnRt
ZW50IG9mIEludGVybmFsIE1lZGljaW5lLCBSZWZlcmVuY2UgQ2VudGVyIGZvciBMeXNvc29tYWwg
U3RvcmFnZSBEaXNlYXNlcywgSMO0cGl0YXV4IFVuaXZlcnNpdGFpcmVzIFBhcmlzIE5vcmQgVmFs
IGRlIFNlaW5lLCBzaXRlIEJlYXVqb24sIEFzc2lzdGFuY2UgUHVibGlxdWUtSMO0cGl0YXV4IGRl
IFBhcmlzLCAxMDAgYm91bGV2YXJkIGR1IEfDqW7DqXJhbCBMZWNsZXJjLCBGLTkyMTEwIENsaWNo
eSBsYSBHYXJlbm5lLCBGcmFuY2UuIG5hZGlhLmJlbG1hdG91Z0BhcGhwLmZyLiYjeEQ7UsOpYW5p
bWF0aW9uIE3DqWRpY2FsZSwgSMO0cGl0YWwgU2FpbnQgQW5kcsOpLCBDSFUgZGUgQm9yZGVhdXgs
IDEgcnVlIEplYW4gQnVyZ3VldCwgRi0zMzA3NSBCb3JkZWF1eCwgRnJhbmNlLiBmYWJyaWNlLmNh
bW91QGNodS1ib3JkZWF1eC5mci4mI3hEO0RlcGFydG1lbnQgb2YgSW50ZXJuYWwgTWVkaWNpbmUs
IEdlbmV2YSBVbml2ZXJzaXR5IEhvc3BpdGFsLCBSdWUgR2FicmllbGxlLVBlcnJldC1HZW50aWwg
NCwgQ0gtMTIxMSBHZW7DqHZlLCBTd2l0emVybGFuZC4gY2hyaXN0aW5lLnNlcnJhdHJpY2VAaGN1
Z2UuY2guJiN4RDtTZXJ2aWNlIGRlIEJpb2NoaW1pZSBldCBCaW9sb2dpZSBNb2zDqWN1bGFpcmUg
R3JhbmQgRXN0LCB1bml0w6kgZGVzIE1hbGFkaWVzIEjDqXLDqWRpdGFpcmVzIGR1IE3DqXRhYm9s
aXNtZSBldCBEw6lwaXN0YWdlIE7DqW9uYXRhbCwgQ2VudHJlIGRlIEJpb2xvZ2llIGV0IGRlIFBh
dGhvbG9naWUgRXN0LCBIb3NwaWNlcyBDaXZpbHMgZGUgTHlvbiwgRi02OTY3NyBCcm9uLCBGcmFu
Y2UuIHJvc2VsaW5lLmZyb2lzc2FydEBjaHUtbHlvbi5mci4mI3hEO0luc2VybSBVMTE1MSwgSW5z
dGl0dXQgTmVja2VyIEVuZmFudHMgTWFsYWRlcywgVW5pdmVyc2l0w6kgUGFyaXMgRGVzY2FydGVz
LCBMYWJvcmF0b2lyZSBkZSBCaW9jaGltaWUsIE3DqXRhYm9sb21pcXVlIGV0IFByb3TDqW9taXF1
ZSwgSMO0cGl0YWwgVW5pdmVyc2l0YWlyZSBOZWNrZXIgRW5mYW50cyBNYWxhZGVzLCBBc3Npc3Rh
bmNlIFB1YmxpcXVlLUjDtHBpdGF1eCBkZSBQYXJpcywgMTQ5IHJ1ZSBkZSBTw6h2cmVzLCBGLTc1
MDA1IFBhcmlzLCBGcmFuY2UuIGNhdGhlcmluZS5jYWlsbGF1ZEBpbnNlcm0uZnIuJiN4RDtJbnN0
aXR1dCBOYXRpb25hbCBkZSBsYSBTYW50w6kgZXQgZGUgbGEgUmVjaGVyY2hlIE3DqWRpY2FsZSAo
SU5TRVJNKSBVTVIxMDM3LCBDZW50cmUgZGUgUmVjaGVyY2hlcyBlbiBDYW5jw6lyb2xvZ2llIGRl
IFRvdWxvdXNlIChDUkNUKSwgVW5pdmVyc2l0w6kgUGF1bCBTYWJhdGllciwgTGFib3JhdG9pcmUg
ZGUgQmlvY2hpbWllIE3DqXRhYm9saXF1ZSwgSW5zdGl0dXQgRsOpZMOpcmF0aWYgZGUgQmlvbG9n
aWUsIENIVSBQdXJwYW4sIEYtMzEwNTkgVG91bG91c2UsIEZyYW5jZS4gbGV2YWRlLnRAY2h1LXRv
dWxvdXNlLmZyLiYjeEQ7SW5zdGl0dXQgTmF0aW9uYWwgZGUgbGEgU2FudMOpIGV0IGRlIGxhIFJl
Y2hlcmNoZSBNw6lkaWNhbGUgKElOU0VSTSkgVU1SMTAzNywgRXF1aXBlIExhYmVsbGlzw6llIExp
Z3VlIENvbnRyZSBsZSBDYW5jZXIgMjAxMywgQ2VudHJlIGRlIFJlY2hlcmNoZXMgZW4gQ2FuY2Vy
b2xvZ2llIGRlIFRvdWxvdXNlIChDUkNUKSwgVW5pdmVyc2l0w6kgZGUgVG91bG91c2UsIFNlcnZp
Y2UgZGUgTcOpZGVjaW5lIEludGVybmUsIENIVSBQdXJwYW4sIEYtMzEwNTkgVG91bG91c2UsIEZy
YW5jZS4gbGVvbmFyZG8uYXN0dWRpbGxvMzFAZ21haWwuY29tLiYjeEQ7RGVwYXJ0bWVudCBvZiBJ
bnRlcm5hbCBNZWRpY2luZSwgR2VuZXZhIFVuaXZlcnNpdHkgSG9zcGl0YWwsIFJ1ZSBHYWJyaWVs
bGUtUGVycmV0LUdlbnRpbCA0LCBDSC0xMjExIEdlbsOodmUsIFN3aXR6ZXJsYW5kLiBqYWNxdWVz
LnNlcnJhdHJpY2VAaGN1Z2UuY2guJiN4RDtDZW50cmUgZGUgUsOpZsOpcmVuY2UgZGVzIE1hbGFk
aWVzIEjDqXLDqWRpdGFpcmVzIGR1IE3DqXRhYm9saXNtZSBkZSBsJmFwb3M7RW5mYW50IGV0IGRl
IGwmYXBvcztBZHVsdGUgKE1hTUVBKSwgSMO0cGl0YWwgTmVja2VyLUVuZmFudHMgTWFsYWRlcywg
QXNzaXN0YW5jZSBQdWJsaXF1ZS1Iw7RwaXRhdXggZGUgUGFyaXMsIFVuaXZlcnNpdMOpIFBhcmlz
IERlc2NhcnRlcywgSW5zdGl0dXQgSW1hZ2luZSwgRi03NTAxMiBQYXJpcywgRnJhbmNlLiBhbmFp
cy5icmFzc2llckBuY2suYXBocC5mci4mI3hEO1NlcnZpY2UgZCZhcG9zO29uY28taMOpbWF0b2xv
Z2llLCBTYWludC1WaW5jZW50IGRlIFBhdWwgSG9zcGl0YWwsIEJvdWxldmFyZCBkZSBCZWxmb3J0
LCBVbml2ZXJzaXTDqSBDYXRob2xpcXVlIGRlIExpbGxlLCBVbml2LiBOb3JkIGRlIEZyYW5jZSwg
Ri01OTAwMCBMaWxsZSwgRnJhbmNlLiBSb3NlLkNocmlzdGlhbkBnaGljbC5uZXQuJiN4RDtTZXJ2
aWNlIGRlIE5ldXJvcMOpZGlhdHJpZSwgUGF0aG9sb2dpZSBkdSBkw6l2ZWxvcHBlbWVudCwgU29y
Ym9ubmUgVW5pdmVyc2l0w6ksIFJlZmVyZW5jZSBDZW50ZXIgZm9yIEx5c29zb21hbCBEaXNlYXNl
cywgSMO0cGl0YWwgVHJvdXNzZWF1LCBBc3Npc3RhbmNlIFB1YmxpcXVlLUjDtHBpdGF1eCBkZSBQ
YXJpcywgMjQgQXZlbnVlIGR1IGRvY3RldXIgQXJub2xkIE5ldHRlciwgRi03NTAxMiBQYXJpcywg
RnJhbmNlLiB0aGllcnJ5LmJpbGxldHRlQGFwaHAuZnIuJiN4RDtDSFUgRXN0YWluZyBldCBVbml2
ZXJzaXTDqSBDbGVybW9udCBBdXZlcmduZSwgSGVtYXRvbG9neSAoQmlvbG9neSkgZXQgRUEgNzQ1
MyBDSEVMVEVSLCBGLTYzMDAwIENsZXJtb250LUZlcnJhbmQsIEZyYW5jZS4gbWJlcmdlckBjaHUt
Y2xlcm1vbnRmZXJyYW5kLmZyLjwvYXV0aC1hZGRyZXNzPjx0aXRsZXM+PHRpdGxlPkEgUmV2aWV3
IG9mIEdhdWNoZXIgRGlzZWFzZSBQYXRob3BoeXNpb2xvZ3ksIENsaW5pY2FsIFByZXNlbnRhdGlv
biBhbmQgVHJlYXRtZW50czwvdGl0bGU+PHNlY29uZGFyeS10aXRsZT5JbnQgSiBNb2wgU2NpPC9z
ZWNvbmRhcnktdGl0bGU+PC90aXRsZXM+PHBlcmlvZGljYWw+PGZ1bGwtdGl0bGU+SW50IEogTW9s
IFNjaTwvZnVsbC10aXRsZT48L3BlcmlvZGljYWw+PHZvbHVtZT4xODwvdm9sdW1lPjxudW1iZXI+
MjwvbnVtYmVyPjxlZGl0aW9uPjIwMTcvMDIvMjI8L2VkaXRpb24+PGtleXdvcmRzPjxrZXl3b3Jk
PkdhdWNoZXIgRGlzZWFzZS9kaWFnbm9zaXMvZXBpZGVtaW9sb2d5LypwaHlzaW9wYXRob2xvZ3kv
KnRoZXJhcHk8L2tleXdvcmQ+PGtleXdvcmQ+SHVtYW5zPC9rZXl3b3JkPjxrZXl3b3JkPk1ldGFi
b2xpYyBOZXR3b3JrcyBhbmQgUGF0aHdheXM8L2tleXdvcmQ+PGtleXdvcmQ+TW9kZWxzLCBCaW9s
b2dpY2FsPC9rZXl3b3JkPjxrZXl3b3JkPk1vbml0b3JpbmcsIFBoeXNpb2xvZ2ljPC9rZXl3b3Jk
PjxrZXl3b3JkPlByb2dub3Npczwva2V5d29yZD48a2V5d29yZD5HQkExIGdlbmU8L2tleXdvcmQ+
PGtleXdvcmQ+R2F1Y2hlciBkaXNlYXNlPC9rZXl3b3JkPjxrZXl3b3JkPmJpb21hcmtlcnM8L2tl
eXdvcmQ+PGtleXdvcmQ+ZW56eW1lIHJlcGxhY2VtZW50IHRoZXJhcHk8L2tleXdvcmQ+PGtleXdv
cmQ+Z2x1Y29jZXJlYnJvc2lkYXNlPC9rZXl3b3JkPjxrZXl3b3JkPmx5c29zb21hbCBzdG9yYWdl
IGRpc2Vhc2U8L2tleXdvcmQ+PGtleXdvcmQ+c3Vic3RyYXRlIHJlZHVjdGlvbiB0aGVyYXB5PC9r
ZXl3b3JkPjxrZXl3b3JkPk1hcmMgRy4gQmVyZ2VyIGhhdmUgcmVjZWl2ZWQgY29uc3VsdGluZyBh
bmQgc3BlYWtpbmcgZmVlcyBmcm9tIFNhbm9maS1HZW56eW1lLDwva2V5d29yZD48a2V5d29yZD5T
aGlyZSwgQWN0ZWxpb24gYW5kIFBmaXplci4gUm9zZWxpbmUgRnJvaXNzYXJ0IGhhcyByZWNlaXZl
ZCB0cmF2ZWwgZmVlcyBmcm9tPC9rZXl3b3JkPjxrZXl3b3JkPlNhbm9maS1HZW56eW1lLiBHcmFu
dHMgZnJvbSB0aGVzZSBjb21wYW5pZXMgd2VyZSBkb25hdGVkIHRvIHRoZSBEZXBhcnRtZW50IG9m
PC9rZXl3b3JkPjxrZXl3b3JkPkNsaW5pY2FsIFJlc2VhcmNoIG9mIHRoZSBBc3Npc3RhbmNlLVB1
YmxpcXVlIEjDtHBpdGF1eCBkZSBQYXJpcyBhbmQgb2YgdGhlIFVuaXZlcnNpdHk8L2tleXdvcmQ+
PGtleXdvcmQ+SG9zcGl0YWwgb2YgQ2xlcm1vbnQtRmVycmFuZC4gQ2hyaXN0aW5lIFNlcnJhdHJp
Y2UgYW5kIEZhYnJpY2UgQ2Ftb3UgaGF2ZSByZWNlaXZlZDwva2V5d29yZD48a2V5d29yZD5jb25z
dWx0YXRpb24gYW5kIHNwZWFraW5nIGZlZXMgZnJvbSBTYW5vZmktR2VuenltZSBhbmQgU2hpcmUu
IFRoaWVycnkgTGV2YWRlPC9rZXl3b3JkPjxrZXl3b3JkPnJlY2VpdmVkIHN1cHBvcnQgZm9yIHRy
YXZlbCBmZWVzIGZyb20gU2Fub2ZpLUdlbnp5bWUgYW5kIFNoaXJlLjwva2V5d29yZD48L2tleXdv
cmRzPjxkYXRlcz48eWVhcj4yMDE3PC95ZWFyPjxwdWItZGF0ZXM+PGRhdGU+RmViIDE3PC9kYXRl
PjwvcHViLWRhdGVzPjwvZGF0ZXM+PGlzYm4+MTQyMi0wMDY3PC9pc2JuPjxhY2Nlc3Npb24tbnVt
PjI4MjE4NjY5PC9hY2Nlc3Npb24tbnVtPjx1cmxzPjxyZWxhdGVkLXVybHM+PHVybD5odHRwczov
L3Jlcy5tZHBpLmNvbS9kX2F0dGFjaG1lbnQvaWptcy9pam1zLTE4LTAwNDQxL2FydGljbGVfZGVw
bG95L2lqbXMtMTgtMDA0NDEtdjIucGRmPC91cmw+PC9yZWxhdGVkLXVybHM+PC91cmxzPjxjdXN0
b20yPlBNQzUzNDM5NzU8L2N1c3RvbTI+PGVsZWN0cm9uaWMtcmVzb3VyY2UtbnVtPjEwLjMzOTAv
aWptczE4MDIwNDQxPC9lbGVjdHJvbmljLXJlc291cmNlLW51bT48cmVtb3RlLWRhdGFiYXNlLXBy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Pr>
                <w:noProof/>
              </w:rPr>
              <w:t>(Stirnemann et al., 2017)</w:t>
            </w:r>
            <w:r>
              <w:fldChar w:fldCharType="end"/>
            </w:r>
          </w:p>
        </w:tc>
      </w:tr>
    </w:tbl>
    <w:p w14:paraId="4F4C6BA9" w14:textId="5ABCCA38" w:rsidR="007C3C21" w:rsidRDefault="007C3C21" w:rsidP="00681BA1">
      <w:pPr>
        <w:pStyle w:val="Tablenotes"/>
      </w:pPr>
      <w:r>
        <w:lastRenderedPageBreak/>
        <w:t>CD=</w:t>
      </w:r>
      <w:r w:rsidRPr="00F503C6">
        <w:t xml:space="preserve"> Canavan disease</w:t>
      </w:r>
      <w:r>
        <w:t>; CF=</w:t>
      </w:r>
      <w:r w:rsidRPr="00FA4A2E">
        <w:t>Cystic fibrosis</w:t>
      </w:r>
      <w:r>
        <w:t xml:space="preserve">; </w:t>
      </w:r>
      <w:r>
        <w:rPr>
          <w:lang w:val="en-US"/>
        </w:rPr>
        <w:t xml:space="preserve">CT= </w:t>
      </w:r>
      <w:proofErr w:type="spellStart"/>
      <w:r>
        <w:rPr>
          <w:lang w:val="en-US"/>
        </w:rPr>
        <w:t>Computerised</w:t>
      </w:r>
      <w:proofErr w:type="spellEnd"/>
      <w:r>
        <w:rPr>
          <w:lang w:val="en-US"/>
        </w:rPr>
        <w:t xml:space="preserve"> tomography; DPMQ= </w:t>
      </w:r>
      <w:r w:rsidRPr="00621FC6">
        <w:rPr>
          <w:lang w:val="en-US"/>
        </w:rPr>
        <w:t>Dispensed Price for Maximum Quantity</w:t>
      </w:r>
      <w:r>
        <w:rPr>
          <w:lang w:val="en-US"/>
        </w:rPr>
        <w:t>;</w:t>
      </w:r>
      <w:r w:rsidRPr="00621FC6">
        <w:rPr>
          <w:lang w:val="en-US"/>
        </w:rPr>
        <w:t xml:space="preserve"> </w:t>
      </w:r>
      <w:r>
        <w:rPr>
          <w:lang w:val="en-US"/>
        </w:rPr>
        <w:t xml:space="preserve">ECG= Electrocardiogram; EEG= Electroencephalogram; </w:t>
      </w:r>
      <w:r w:rsidRPr="000F0E66">
        <w:t>ERT</w:t>
      </w:r>
      <w:r>
        <w:t>= E</w:t>
      </w:r>
      <w:r w:rsidRPr="000F0E66">
        <w:t>nzyme replacement therapy</w:t>
      </w:r>
      <w:r>
        <w:t>;</w:t>
      </w:r>
      <w:r w:rsidRPr="000F0E66">
        <w:t xml:space="preserve"> </w:t>
      </w:r>
      <w:r w:rsidRPr="00621FC6">
        <w:t>FA</w:t>
      </w:r>
      <w:r>
        <w:t xml:space="preserve">= </w:t>
      </w:r>
      <w:r w:rsidRPr="00621FC6">
        <w:t xml:space="preserve">Fanconi </w:t>
      </w:r>
      <w:proofErr w:type="spellStart"/>
      <w:r w:rsidRPr="00621FC6">
        <w:t>anemia</w:t>
      </w:r>
      <w:proofErr w:type="spellEnd"/>
      <w:r>
        <w:t xml:space="preserve">; FD= </w:t>
      </w:r>
      <w:r w:rsidRPr="00F503C6">
        <w:t>Familial dysautonomia</w:t>
      </w:r>
      <w:r>
        <w:t xml:space="preserve">; </w:t>
      </w:r>
      <w:r w:rsidRPr="00621FC6">
        <w:t>GBA</w:t>
      </w:r>
      <w:r>
        <w:t xml:space="preserve">= </w:t>
      </w:r>
      <w:r w:rsidRPr="00621FC6">
        <w:t>beta-glucocerebrosidase</w:t>
      </w:r>
      <w:r>
        <w:t>;</w:t>
      </w:r>
      <w:r w:rsidRPr="00621FC6">
        <w:t xml:space="preserve"> </w:t>
      </w:r>
      <w:r w:rsidRPr="000C0D02">
        <w:t>G-CSF</w:t>
      </w:r>
      <w:r>
        <w:t xml:space="preserve">= </w:t>
      </w:r>
      <w:r w:rsidRPr="00621FC6">
        <w:t>Granulocyte - colony stimulating</w:t>
      </w:r>
      <w:r>
        <w:t xml:space="preserve"> factor; </w:t>
      </w:r>
      <w:r>
        <w:rPr>
          <w:lang w:val="en-US"/>
        </w:rPr>
        <w:t>GD= Gaucher Disease</w:t>
      </w:r>
      <w:r>
        <w:t>;</w:t>
      </w:r>
      <w:r w:rsidRPr="00621FC6">
        <w:t xml:space="preserve"> </w:t>
      </w:r>
      <w:r>
        <w:t xml:space="preserve">GSD1= </w:t>
      </w:r>
      <w:r w:rsidRPr="00F503C6">
        <w:t xml:space="preserve">Glycogen storage </w:t>
      </w:r>
      <w:r w:rsidR="00CB075C">
        <w:t xml:space="preserve">disease </w:t>
      </w:r>
      <w:r w:rsidRPr="00F503C6">
        <w:t>type 1</w:t>
      </w:r>
      <w:r>
        <w:t xml:space="preserve">; HPV= Human Papillomavirus; </w:t>
      </w:r>
      <w:r w:rsidRPr="000C0D02">
        <w:t>HSCT</w:t>
      </w:r>
      <w:r>
        <w:t xml:space="preserve">= </w:t>
      </w:r>
      <w:r w:rsidRPr="00621FC6">
        <w:t>Haematopoietic stem cell transplantation</w:t>
      </w:r>
      <w:r>
        <w:t>;</w:t>
      </w:r>
      <w:r w:rsidRPr="00132ECC">
        <w:t xml:space="preserve"> </w:t>
      </w:r>
      <w:r>
        <w:t xml:space="preserve">Lung Tx= Lung transplant; </w:t>
      </w:r>
      <w:r w:rsidRPr="00132ECC">
        <w:t>MLPA</w:t>
      </w:r>
      <w:r>
        <w:t xml:space="preserve">= </w:t>
      </w:r>
      <w:r w:rsidRPr="00621FC6">
        <w:t>Multiplex ligation-dependent probe amplification</w:t>
      </w:r>
      <w:r>
        <w:t xml:space="preserve">; MRI= Magnetic resonance imaging; mRNA= </w:t>
      </w:r>
      <w:r w:rsidRPr="00621FC6">
        <w:t>messenger RNA</w:t>
      </w:r>
      <w:r>
        <w:t xml:space="preserve">; </w:t>
      </w:r>
      <w:r w:rsidRPr="00621FC6">
        <w:t>NAA</w:t>
      </w:r>
      <w:r>
        <w:t>=</w:t>
      </w:r>
      <w:r w:rsidRPr="00621FC6">
        <w:t xml:space="preserve"> N-acetyl-L-aspartic acid</w:t>
      </w:r>
      <w:r>
        <w:t xml:space="preserve">; NPD= </w:t>
      </w:r>
      <w:r w:rsidRPr="00F503C6">
        <w:t>Niemann Pick disease type A</w:t>
      </w:r>
      <w:r>
        <w:t xml:space="preserve">; PBS= Pharmaceutical Benefits Scheme; </w:t>
      </w:r>
      <w:r w:rsidRPr="000F0E66">
        <w:t>SRT</w:t>
      </w:r>
      <w:r>
        <w:t xml:space="preserve">= </w:t>
      </w:r>
      <w:r w:rsidRPr="000F0E66">
        <w:t>substrate reduction</w:t>
      </w:r>
      <w:r>
        <w:t xml:space="preserve"> </w:t>
      </w:r>
      <w:r w:rsidRPr="000F0E66">
        <w:t>therapy</w:t>
      </w:r>
      <w:r>
        <w:t xml:space="preserve">; SMA= </w:t>
      </w:r>
      <w:r w:rsidRPr="00FA4A2E">
        <w:t>Spinal muscular atrophy</w:t>
      </w:r>
      <w:r>
        <w:t>; TSD=</w:t>
      </w:r>
      <w:r w:rsidRPr="004E138A">
        <w:t>Tay-Sachs disease</w:t>
      </w:r>
    </w:p>
    <w:p w14:paraId="73EEA320" w14:textId="38E1F3A2" w:rsidR="007C3C21" w:rsidRDefault="007C3C21" w:rsidP="004C266D">
      <w:pPr>
        <w:sectPr w:rsidR="007C3C21" w:rsidSect="003B2EF3">
          <w:pgSz w:w="16838" w:h="11906" w:orient="landscape"/>
          <w:pgMar w:top="1191" w:right="682" w:bottom="1134" w:left="1021" w:header="709" w:footer="709" w:gutter="0"/>
          <w:cols w:space="708"/>
          <w:docGrid w:linePitch="360"/>
        </w:sectPr>
      </w:pPr>
    </w:p>
    <w:p w14:paraId="0E38780D" w14:textId="77777777" w:rsidR="007A66C8" w:rsidRPr="008F1532" w:rsidRDefault="007A66C8" w:rsidP="00713728">
      <w:pPr>
        <w:pStyle w:val="Heading3"/>
      </w:pPr>
      <w:r w:rsidRPr="008F1532">
        <w:lastRenderedPageBreak/>
        <w:t>Intervention</w:t>
      </w:r>
    </w:p>
    <w:p w14:paraId="3D77801E" w14:textId="67985085" w:rsidR="00D10638" w:rsidRDefault="00AC6893" w:rsidP="003358A6">
      <w:r w:rsidRPr="002F1C7A">
        <w:rPr>
          <w:rFonts w:asciiTheme="minorHAnsi" w:hAnsiTheme="minorHAnsi" w:cstheme="minorHAnsi"/>
          <w:i/>
        </w:rPr>
        <w:t>PASC agreed that the proposed intervention will be an in vitro testing panel to identify the carriers of pathogenic or likely pathogenic genetic variants associated with nine severe monogenic disorders</w:t>
      </w:r>
      <w:r>
        <w:rPr>
          <w:rFonts w:asciiTheme="minorHAnsi" w:hAnsiTheme="minorHAnsi" w:cstheme="minorHAnsi"/>
          <w:i/>
        </w:rPr>
        <w:t xml:space="preserve"> for which the Ashkenazi Jewish population are at increased risk</w:t>
      </w:r>
      <w:r w:rsidRPr="002F1C7A">
        <w:rPr>
          <w:rFonts w:asciiTheme="minorHAnsi" w:hAnsiTheme="minorHAnsi" w:cstheme="minorHAnsi"/>
          <w:i/>
        </w:rPr>
        <w:t xml:space="preserve">. The gene panel will comprise </w:t>
      </w:r>
      <w:r w:rsidRPr="001C3AA1">
        <w:rPr>
          <w:rFonts w:asciiTheme="minorHAnsi" w:hAnsiTheme="minorHAnsi" w:cstheme="minorHAnsi"/>
          <w:iCs/>
        </w:rPr>
        <w:t xml:space="preserve">HEXA, ASPA, ELP1, MCOLN1, G6PC1 and SLC37A4, FANCA </w:t>
      </w:r>
      <w:r w:rsidRPr="001F6806">
        <w:rPr>
          <w:rFonts w:asciiTheme="minorHAnsi" w:hAnsiTheme="minorHAnsi" w:cstheme="minorHAnsi"/>
          <w:i/>
        </w:rPr>
        <w:t>and</w:t>
      </w:r>
      <w:r w:rsidRPr="001C3AA1">
        <w:rPr>
          <w:rFonts w:asciiTheme="minorHAnsi" w:hAnsiTheme="minorHAnsi" w:cstheme="minorHAnsi"/>
          <w:iCs/>
        </w:rPr>
        <w:t xml:space="preserve"> FANCC </w:t>
      </w:r>
      <w:r w:rsidRPr="001F6806">
        <w:rPr>
          <w:rFonts w:asciiTheme="minorHAnsi" w:hAnsiTheme="minorHAnsi" w:cstheme="minorHAnsi"/>
          <w:i/>
        </w:rPr>
        <w:t>and</w:t>
      </w:r>
      <w:r w:rsidRPr="001C3AA1">
        <w:rPr>
          <w:rFonts w:asciiTheme="minorHAnsi" w:hAnsiTheme="minorHAnsi" w:cstheme="minorHAnsi"/>
          <w:iCs/>
        </w:rPr>
        <w:t xml:space="preserve"> FANCG, GBA, SMPD1, BLM</w:t>
      </w:r>
      <w:r w:rsidRPr="002F1C7A">
        <w:rPr>
          <w:rFonts w:asciiTheme="minorHAnsi" w:hAnsiTheme="minorHAnsi" w:cstheme="minorHAnsi"/>
          <w:i/>
        </w:rPr>
        <w:t xml:space="preserve"> </w:t>
      </w:r>
      <w:r>
        <w:rPr>
          <w:rFonts w:asciiTheme="minorHAnsi" w:hAnsiTheme="minorHAnsi" w:cstheme="minorHAnsi"/>
          <w:i/>
        </w:rPr>
        <w:t xml:space="preserve">genes, </w:t>
      </w:r>
      <w:r w:rsidRPr="002F1C7A">
        <w:rPr>
          <w:rFonts w:asciiTheme="minorHAnsi" w:hAnsiTheme="minorHAnsi" w:cstheme="minorHAnsi"/>
          <w:i/>
        </w:rPr>
        <w:t>that cause</w:t>
      </w:r>
      <w:r>
        <w:rPr>
          <w:rFonts w:asciiTheme="minorHAnsi" w:hAnsiTheme="minorHAnsi" w:cstheme="minorHAnsi"/>
          <w:i/>
        </w:rPr>
        <w:t xml:space="preserve"> </w:t>
      </w:r>
      <w:r w:rsidRPr="002F1C7A">
        <w:rPr>
          <w:rFonts w:asciiTheme="minorHAnsi" w:hAnsiTheme="minorHAnsi" w:cstheme="minorHAnsi"/>
          <w:i/>
        </w:rPr>
        <w:t xml:space="preserve">TSD, CD, FD, MLD, GSD1, FA, GD, </w:t>
      </w:r>
      <w:proofErr w:type="gramStart"/>
      <w:r w:rsidRPr="002F1C7A">
        <w:rPr>
          <w:rFonts w:asciiTheme="minorHAnsi" w:hAnsiTheme="minorHAnsi" w:cstheme="minorHAnsi"/>
          <w:i/>
        </w:rPr>
        <w:t>NPD</w:t>
      </w:r>
      <w:proofErr w:type="gramEnd"/>
      <w:r w:rsidRPr="002F1C7A">
        <w:rPr>
          <w:rFonts w:asciiTheme="minorHAnsi" w:hAnsiTheme="minorHAnsi" w:cstheme="minorHAnsi"/>
          <w:i/>
        </w:rPr>
        <w:t xml:space="preserve"> and BS, respectively.</w:t>
      </w:r>
      <w:r>
        <w:rPr>
          <w:rFonts w:asciiTheme="minorHAnsi" w:hAnsiTheme="minorHAnsi" w:cstheme="minorHAnsi"/>
          <w:i/>
        </w:rPr>
        <w:t xml:space="preserve"> </w:t>
      </w:r>
      <w:r w:rsidRPr="003F3121">
        <w:rPr>
          <w:rFonts w:asciiTheme="minorHAnsi" w:hAnsiTheme="minorHAnsi" w:cstheme="minorHAnsi"/>
          <w:i/>
        </w:rPr>
        <w:t>Test</w:t>
      </w:r>
      <w:r>
        <w:rPr>
          <w:rFonts w:asciiTheme="minorHAnsi" w:hAnsiTheme="minorHAnsi" w:cstheme="minorHAnsi"/>
          <w:i/>
        </w:rPr>
        <w:t>ing</w:t>
      </w:r>
      <w:r w:rsidRPr="003F3121">
        <w:rPr>
          <w:rFonts w:asciiTheme="minorHAnsi" w:hAnsiTheme="minorHAnsi" w:cstheme="minorHAnsi"/>
          <w:i/>
        </w:rPr>
        <w:t xml:space="preserve"> in practice will also include </w:t>
      </w:r>
      <w:r w:rsidRPr="001C3AA1">
        <w:rPr>
          <w:rFonts w:asciiTheme="minorHAnsi" w:hAnsiTheme="minorHAnsi" w:cstheme="minorHAnsi"/>
          <w:iCs/>
        </w:rPr>
        <w:t>CFTR</w:t>
      </w:r>
      <w:r w:rsidRPr="003F3121">
        <w:rPr>
          <w:rFonts w:asciiTheme="minorHAnsi" w:hAnsiTheme="minorHAnsi" w:cstheme="minorHAnsi"/>
          <w:i/>
        </w:rPr>
        <w:t xml:space="preserve">, </w:t>
      </w:r>
      <w:r w:rsidRPr="001C3AA1">
        <w:rPr>
          <w:rFonts w:asciiTheme="minorHAnsi" w:hAnsiTheme="minorHAnsi" w:cstheme="minorHAnsi"/>
          <w:iCs/>
        </w:rPr>
        <w:t>SMN1</w:t>
      </w:r>
      <w:r w:rsidRPr="003F3121">
        <w:rPr>
          <w:rFonts w:asciiTheme="minorHAnsi" w:hAnsiTheme="minorHAnsi" w:cstheme="minorHAnsi"/>
          <w:i/>
        </w:rPr>
        <w:t xml:space="preserve"> and </w:t>
      </w:r>
      <w:r w:rsidRPr="001C3AA1">
        <w:rPr>
          <w:rFonts w:asciiTheme="minorHAnsi" w:hAnsiTheme="minorHAnsi" w:cstheme="minorHAnsi"/>
          <w:iCs/>
        </w:rPr>
        <w:t>FMR1</w:t>
      </w:r>
      <w:r w:rsidRPr="003F3121">
        <w:rPr>
          <w:rFonts w:asciiTheme="minorHAnsi" w:hAnsiTheme="minorHAnsi" w:cstheme="minorHAnsi"/>
          <w:i/>
        </w:rPr>
        <w:t xml:space="preserve">, however these are not included in the </w:t>
      </w:r>
      <w:r>
        <w:rPr>
          <w:rFonts w:asciiTheme="minorHAnsi" w:hAnsiTheme="minorHAnsi" w:cstheme="minorHAnsi"/>
          <w:i/>
        </w:rPr>
        <w:t xml:space="preserve">panel </w:t>
      </w:r>
      <w:r w:rsidRPr="003F3121">
        <w:rPr>
          <w:rFonts w:asciiTheme="minorHAnsi" w:hAnsiTheme="minorHAnsi" w:cstheme="minorHAnsi"/>
          <w:i/>
        </w:rPr>
        <w:t>intervention for assessment as they have already been supported by MSAC</w:t>
      </w:r>
      <w:r>
        <w:rPr>
          <w:rFonts w:asciiTheme="minorHAnsi" w:hAnsiTheme="minorHAnsi" w:cstheme="minorHAnsi"/>
          <w:i/>
        </w:rPr>
        <w:t xml:space="preserve">. </w:t>
      </w:r>
      <w:r w:rsidR="00EE65D2" w:rsidRPr="002F1C7A">
        <w:rPr>
          <w:rFonts w:asciiTheme="minorHAnsi" w:hAnsiTheme="minorHAnsi" w:cstheme="minorHAnsi"/>
          <w:i/>
        </w:rPr>
        <w:t>Often the technologies used for such testing are next generation DNA sequencing (NGS) methodologies</w:t>
      </w:r>
      <w:r w:rsidR="00EE65D2">
        <w:t>.</w:t>
      </w:r>
      <w:r w:rsidR="00D10638">
        <w:t xml:space="preserve"> </w:t>
      </w:r>
      <w:r w:rsidR="00D10638" w:rsidRPr="00EE65D2">
        <w:rPr>
          <w:i/>
          <w:iCs/>
        </w:rPr>
        <w:t xml:space="preserve">PASC agreed with the applicant’s suggestion that the technology used will remain </w:t>
      </w:r>
      <w:r w:rsidR="0020327D" w:rsidRPr="00EE65D2">
        <w:rPr>
          <w:i/>
          <w:iCs/>
        </w:rPr>
        <w:t>agnostic and</w:t>
      </w:r>
      <w:r w:rsidR="00D10638" w:rsidRPr="00EE65D2">
        <w:rPr>
          <w:i/>
          <w:iCs/>
        </w:rPr>
        <w:t xml:space="preserve"> will be up to the individual pathology laboratory to decide which method they would use</w:t>
      </w:r>
      <w:r w:rsidR="00D10638" w:rsidRPr="00D10638">
        <w:t>.</w:t>
      </w:r>
    </w:p>
    <w:p w14:paraId="2836D9A1" w14:textId="6BF8260C" w:rsidR="00B1597A" w:rsidRPr="004D6E95" w:rsidRDefault="00B1597A" w:rsidP="004D6E95">
      <w:pPr>
        <w:rPr>
          <w:rFonts w:asciiTheme="minorHAnsi" w:hAnsiTheme="minorHAnsi" w:cstheme="minorHAnsi"/>
          <w:i/>
        </w:rPr>
      </w:pPr>
      <w:r w:rsidRPr="002F1C7A">
        <w:rPr>
          <w:rFonts w:asciiTheme="minorHAnsi" w:hAnsiTheme="minorHAnsi" w:cstheme="minorHAnsi"/>
          <w:i/>
        </w:rPr>
        <w:t>PASC considered limiting the intervention to the nine severe monogenic disorders described previously as highly prevalent in the Ashkenazi Jewish population in Australia, as opposed to testing for a broader panel of genes, noting assessment of gene panels for other higher risk ethnicities may not be practicable. PASC suggested the applicant should revisit this issue in its revised PICO, to be submitted to PASC out of session.</w:t>
      </w:r>
      <w:r>
        <w:rPr>
          <w:rFonts w:asciiTheme="minorHAnsi" w:hAnsiTheme="minorHAnsi" w:cstheme="minorHAnsi"/>
          <w:i/>
        </w:rPr>
        <w:t xml:space="preserve"> At the post-PASC meeting, the applicant agreed this</w:t>
      </w:r>
      <w:r w:rsidRPr="004D6E95">
        <w:rPr>
          <w:rFonts w:asciiTheme="minorHAnsi" w:hAnsiTheme="minorHAnsi" w:cstheme="minorHAnsi"/>
          <w:i/>
        </w:rPr>
        <w:t xml:space="preserve"> application is to be restricted to the Ashkenazi Jewish population (though other ethnicities that confer a &gt;10% personal risk of being a carrier for specific gene variants may be the subject of future applications).</w:t>
      </w:r>
    </w:p>
    <w:p w14:paraId="5417D76F" w14:textId="02EF5165" w:rsidR="007C3C21" w:rsidRDefault="007C3C21" w:rsidP="003358A6">
      <w:r>
        <w:t xml:space="preserve">The links between the pathogenic variants of these genes and their respective diseases are well established in literature. However, evidence supporting the downstream improvements among the offspring of the carriers of these genes is required. </w:t>
      </w:r>
      <w:r w:rsidR="00B02BB0">
        <w:t>Further, identifying the carrier status of the individuals can help couples make informed reproductive decisions. Such informed choice may not be possible in absence of such testing. Finally, t</w:t>
      </w:r>
      <w:r>
        <w:t xml:space="preserve">here is evidence that </w:t>
      </w:r>
      <w:r w:rsidR="00A16B90">
        <w:t xml:space="preserve">carrier </w:t>
      </w:r>
      <w:r w:rsidR="00024485">
        <w:t xml:space="preserve">testing </w:t>
      </w:r>
      <w:r w:rsidR="0075241A">
        <w:t xml:space="preserve">in </w:t>
      </w:r>
      <w:r>
        <w:t xml:space="preserve">the </w:t>
      </w:r>
      <w:r w:rsidR="00666B40">
        <w:t xml:space="preserve">Ashkenazi Jewish </w:t>
      </w:r>
      <w:r>
        <w:t xml:space="preserve">population preconceptionally and antenatally results in fewer children born with the disorders </w:t>
      </w:r>
      <w:r w:rsidR="00A16B90">
        <w:t>tested for</w:t>
      </w:r>
      <w:r>
        <w:t>.</w:t>
      </w:r>
    </w:p>
    <w:p w14:paraId="31B09897" w14:textId="5689076F" w:rsidR="007C3C21" w:rsidRDefault="00EA7A49" w:rsidP="003358A6">
      <w:r>
        <w:t>It is noted that t</w:t>
      </w:r>
      <w:r w:rsidR="007C3C21">
        <w:t>he prevalence</w:t>
      </w:r>
      <w:r w:rsidR="009E7EF5">
        <w:t xml:space="preserve"> of variants in the genes</w:t>
      </w:r>
      <w:r w:rsidR="007C3C21">
        <w:t xml:space="preserve"> </w:t>
      </w:r>
      <w:r>
        <w:t xml:space="preserve">other than the </w:t>
      </w:r>
      <w:r w:rsidRPr="00EA7A49">
        <w:rPr>
          <w:i/>
          <w:iCs/>
        </w:rPr>
        <w:t>HEXA</w:t>
      </w:r>
      <w:r>
        <w:t xml:space="preserve"> </w:t>
      </w:r>
      <w:r w:rsidR="007C3C21">
        <w:t xml:space="preserve">is much lower </w:t>
      </w:r>
      <w:r w:rsidR="007C3C21" w:rsidRPr="00384738">
        <w:t xml:space="preserve">in the general as well as </w:t>
      </w:r>
      <w:r w:rsidR="00666B40">
        <w:t>Ashkenazi Jewish</w:t>
      </w:r>
      <w:r w:rsidR="00E90162">
        <w:t xml:space="preserve"> </w:t>
      </w:r>
      <w:r w:rsidR="007C3C21" w:rsidRPr="00384738">
        <w:t>population</w:t>
      </w:r>
      <w:r>
        <w:t xml:space="preserve">, compared with </w:t>
      </w:r>
      <w:r w:rsidRPr="00EA7A49">
        <w:rPr>
          <w:i/>
          <w:iCs/>
        </w:rPr>
        <w:t>HEXA</w:t>
      </w:r>
      <w:r w:rsidR="007C3C21">
        <w:t xml:space="preserve">. The inclusion of these additional genes on the panel </w:t>
      </w:r>
      <w:r w:rsidR="009E7EF5">
        <w:t xml:space="preserve">is </w:t>
      </w:r>
      <w:r w:rsidR="007C3C21">
        <w:t xml:space="preserve">not expected to increase the utilisation of the panel as they would only be tested in </w:t>
      </w:r>
      <w:r w:rsidR="00FD4D72">
        <w:t xml:space="preserve">individuals </w:t>
      </w:r>
      <w:r w:rsidR="007C3C21">
        <w:t xml:space="preserve">with a risk of &gt;10% of being a carrier based on their hereditary predisposition. </w:t>
      </w:r>
      <w:r w:rsidR="007C3C21" w:rsidRPr="00FD4D72">
        <w:t xml:space="preserve">The management of </w:t>
      </w:r>
      <w:r w:rsidR="00985B68" w:rsidRPr="00FD4D72">
        <w:t xml:space="preserve">individuals </w:t>
      </w:r>
      <w:r w:rsidR="007C3C21" w:rsidRPr="00FD4D72">
        <w:t xml:space="preserve">carrying </w:t>
      </w:r>
      <w:r w:rsidR="009E7EF5">
        <w:t xml:space="preserve">variants in </w:t>
      </w:r>
      <w:r w:rsidR="007C3C21" w:rsidRPr="00FD4D72">
        <w:t xml:space="preserve">the </w:t>
      </w:r>
      <w:r w:rsidR="00FD4D72" w:rsidRPr="00FD4D72">
        <w:t xml:space="preserve">facilitated </w:t>
      </w:r>
      <w:r w:rsidR="007C3C21" w:rsidRPr="00FD4D72">
        <w:t xml:space="preserve">genes is unlikely to be different from those carrying </w:t>
      </w:r>
      <w:r w:rsidR="007C3C21" w:rsidRPr="001C3AA1">
        <w:rPr>
          <w:i/>
          <w:iCs/>
        </w:rPr>
        <w:t>HEXA</w:t>
      </w:r>
      <w:r w:rsidR="00E90162">
        <w:t xml:space="preserve"> </w:t>
      </w:r>
      <w:r w:rsidR="007C3C21" w:rsidRPr="00E90162">
        <w:t>and</w:t>
      </w:r>
      <w:r w:rsidR="007C3C21" w:rsidRPr="00FD4D72">
        <w:t xml:space="preserve"> hence the downstream costs and consequences are likely to be the same. </w:t>
      </w:r>
    </w:p>
    <w:p w14:paraId="74CA2484" w14:textId="6CC44D18" w:rsidR="00EA7A49" w:rsidRPr="009D4644" w:rsidRDefault="00EA7A49" w:rsidP="003358A6">
      <w:pPr>
        <w:rPr>
          <w:i/>
          <w:iCs/>
        </w:rPr>
      </w:pPr>
      <w:r w:rsidRPr="009D4644">
        <w:rPr>
          <w:i/>
          <w:iCs/>
        </w:rPr>
        <w:t xml:space="preserve">PASC agreed that the definition of downstream costs be changed to include the </w:t>
      </w:r>
      <w:r w:rsidR="00D3682B" w:rsidRPr="009D4644">
        <w:rPr>
          <w:i/>
          <w:iCs/>
        </w:rPr>
        <w:t>costs for caring for a child with a severe disorder in addition to the previously proposed definition that only included costs and resource use up to the possible birth of a child, or the management to avoid a birth.</w:t>
      </w:r>
    </w:p>
    <w:p w14:paraId="1E666925" w14:textId="33316890" w:rsidR="009E7EF5" w:rsidRPr="009E7EF5" w:rsidRDefault="007C3C21" w:rsidP="003358A6">
      <w:r>
        <w:t xml:space="preserve">Genetic carrier testing for CF is currently available through the MBS under certain circumstances (MBS items 73345, 73346, 73347, 73349). Additionally, in July 2020 the MSAC supported public funding for reproductive carrier testing to detect CF, SMA and FXS for pregnant women, women planning pregnancy or partners of women who are identified as carriers. </w:t>
      </w:r>
      <w:r w:rsidR="00DC42AD">
        <w:t>If supported by Government and listed on the MBS, t</w:t>
      </w:r>
      <w:r w:rsidR="009E7EF5" w:rsidRPr="009E7EF5">
        <w:t xml:space="preserve">his testing </w:t>
      </w:r>
      <w:r w:rsidR="00682409">
        <w:t>will be</w:t>
      </w:r>
      <w:r w:rsidR="009E7EF5" w:rsidRPr="009E7EF5">
        <w:t xml:space="preserve"> available to all couples</w:t>
      </w:r>
      <w:r w:rsidR="00DC42AD">
        <w:t xml:space="preserve"> planning pregnancy</w:t>
      </w:r>
      <w:r w:rsidR="009E7EF5">
        <w:t>,</w:t>
      </w:r>
      <w:r w:rsidR="009E7EF5" w:rsidRPr="009E7EF5">
        <w:t xml:space="preserve"> </w:t>
      </w:r>
      <w:r w:rsidR="009E7EF5">
        <w:t>without a</w:t>
      </w:r>
      <w:r w:rsidR="009E7EF5" w:rsidRPr="009E7EF5">
        <w:t xml:space="preserve"> restriction on &gt;10% </w:t>
      </w:r>
      <w:r w:rsidR="00414B39">
        <w:t xml:space="preserve">a priori </w:t>
      </w:r>
      <w:r w:rsidR="009E7EF5" w:rsidRPr="009E7EF5">
        <w:t>risk of being a carrier</w:t>
      </w:r>
      <w:r w:rsidR="009E7EF5">
        <w:t>.</w:t>
      </w:r>
    </w:p>
    <w:p w14:paraId="26819A01" w14:textId="445E42A2" w:rsidR="007C3C21" w:rsidRDefault="008F63E3" w:rsidP="00E1397A">
      <w:r>
        <w:lastRenderedPageBreak/>
        <w:t>Biallelic variants in t</w:t>
      </w:r>
      <w:r w:rsidR="00D3682B">
        <w:t>he</w:t>
      </w:r>
      <w:r w:rsidR="00E1397A">
        <w:t xml:space="preserve"> </w:t>
      </w:r>
      <w:r>
        <w:t xml:space="preserve">autosomal recessive </w:t>
      </w:r>
      <w:r w:rsidR="00E1397A">
        <w:rPr>
          <w:i/>
          <w:iCs/>
        </w:rPr>
        <w:t>HEXA</w:t>
      </w:r>
      <w:r>
        <w:t xml:space="preserve"> gene</w:t>
      </w:r>
      <w:r w:rsidR="00E1397A">
        <w:t xml:space="preserve"> give rise to TSD</w:t>
      </w:r>
      <w:r w:rsidR="00863D62">
        <w:t xml:space="preserve">, </w:t>
      </w:r>
      <w:r w:rsidR="007C3C21">
        <w:t>an autosomal recessive monogenic disease that t</w:t>
      </w:r>
      <w:r w:rsidR="007C3C21" w:rsidRPr="004E138A">
        <w:t xml:space="preserve">ypically appears in infants aged </w:t>
      </w:r>
      <w:r w:rsidR="007C3EAF">
        <w:t>three to six</w:t>
      </w:r>
      <w:r w:rsidR="007C3C21" w:rsidRPr="004E138A">
        <w:t xml:space="preserve"> months, when normal development slows, and muscles used for movement weaken, resulting in a loss of motor skills such as turning over, sitting, and crawling</w:t>
      </w:r>
      <w:r w:rsidR="007C3C21">
        <w:t>. TSD</w:t>
      </w:r>
      <w:r w:rsidR="007C3C21" w:rsidRPr="00AC1483">
        <w:t xml:space="preserve"> results in </w:t>
      </w:r>
      <w:r w:rsidR="007C3C21" w:rsidRPr="004E138A">
        <w:t>progressive damage to neurons within the brain and spinal cord</w:t>
      </w:r>
      <w:r w:rsidR="007C3C21" w:rsidRPr="00AC1483">
        <w:t>.</w:t>
      </w:r>
    </w:p>
    <w:p w14:paraId="54FDCD1D" w14:textId="09851BDB" w:rsidR="007C3C21" w:rsidRDefault="007C3C21" w:rsidP="00E1397A">
      <w:r>
        <w:t xml:space="preserve">Among the </w:t>
      </w:r>
      <w:r w:rsidR="00633C05">
        <w:t>Ashkenazi Jewish</w:t>
      </w:r>
      <w:r>
        <w:t xml:space="preserve"> population, approximately one in 3,900 babies are born with TSD </w:t>
      </w:r>
      <w:r>
        <w:fldChar w:fldCharType="begin">
          <w:fldData xml:space="preserve">PEVuZE5vdGU+PENpdGU+PEF1dGhvcj5MZXc8L0F1dGhvcj48WWVhcj4yMDEyPC9ZZWFyPjxSZWNO
dW0+MjQ8L1JlY051bT48RGlzcGxheVRleHQ+KExldyBldCBhbC4sIDIwMTIpPC9EaXNwbGF5VGV4
dD48cmVjb3JkPjxyZWMtbnVtYmVyPjI0PC9yZWMtbnVtYmVyPjxmb3JlaWduLWtleXM+PGtleSBh
cHA9IkVOIiBkYi1pZD0idHZkMngyYWVwcnA5MHRlMjJlb3g5dHZ4ZmUyYTB4djB0ZGZzIiB0aW1l
c3RhbXA9IjE2MjMzNzMxNTgiPjI0PC9rZXk+PC9mb3JlaWduLWtleXM+PHJlZi10eXBlIG5hbWU9
IkpvdXJuYWwgQXJ0aWNsZSI+MTc8L3JlZi10eXBlPjxjb250cmlidXRvcnM+PGF1dGhvcnM+PGF1
dGhvcj5MZXcsIFIuIE0uPC9hdXRob3I+PGF1dGhvcj5Qcm9vcywgQS4gTC48L2F1dGhvcj48YXV0
aG9yPkJ1cm5ldHQsIEwuPC9hdXRob3I+PGF1dGhvcj5EZWxhdHlja2ksIE0uPC9hdXRob3I+PGF1
dGhvcj5CYW5raWVyLCBBLjwvYXV0aG9yPjxhdXRob3I+RmlldHosIE0uIEouPC9hdXRob3I+PC9h
dXRob3JzPjwvY29udHJpYnV0b3JzPjxhdXRoLWFkZHJlc3M+RGVwYXJ0bWVudCBvZiBPYnN0ZXRy
aWNzLCBHeW5hZWNvbG9neSBhbmQgTmVvbmF0b2xvZ3ksIFVuaXZlcnNpdHkgb2YgU3lkbmV5LCBh
bmQgUGFjaWZpYyBMYWJvcmF0b3J5IE1lZGljaW5lIFNlcnZpY2VzLCBQYXRob2xvZ3kgTm9ydGgs
IE5TVyBIZWFsdGggUGF0aG9sb2d5LCBSb3lhbCBOb3J0aCBTaG9yZSBIb3NwaXRhbCwgU3lkbmV5
LCBOU1csIEF1c3RyYWxpYS4gcmxldzIwNjRAdW5pLnN5ZG5leS5lZHUuYXU8L2F1dGgtYWRkcmVz
cz48dGl0bGVzPjx0aXRsZT5UYXkgU2FjaHMgZGlzZWFzZSBpbiBBdXN0cmFsaWE6IHJlZHVjZWQg
ZGlzZWFzZSBpbmNpZGVuY2UgZGVzcGl0ZSBzdGFibGUgY2FycmllciBmcmVxdWVuY3kgaW4gQXVz
dHJhbGlhbiBKZXdzPC90aXRsZT48c2Vjb25kYXJ5LXRpdGxlPk1lZCBKIEF1c3Q8L3NlY29uZGFy
eS10aXRsZT48L3RpdGxlcz48cGVyaW9kaWNhbD48ZnVsbC10aXRsZT5NZWQgSiBBdXN0PC9mdWxs
LXRpdGxlPjwvcGVyaW9kaWNhbD48cGFnZXM+NjUyLTQ8L3BhZ2VzPjx2b2x1bWU+MTk3PC92b2x1
bWU+PG51bWJlcj4xMTwvbnVtYmVyPjxlZGl0aW9uPjIwMTIvMTIvMTM8L2VkaXRpb24+PGtleXdv
cmRzPjxrZXl3b3JkPkFkb2xlc2NlbnQ8L2tleXdvcmQ+PGtleXdvcmQ+QWR1bHQ8L2tleXdvcmQ+
PGtleXdvcmQ+QXVzdHJhbGlhL2VwaWRlbWlvbG9neTwva2V5d29yZD48a2V5d29yZD5GZW1hbGU8
L2tleXdvcmQ+PGtleXdvcmQ+R2VuZXRpYyBDYXJyaWVyIFNjcmVlbmluZzwva2V5d29yZD48a2V5
d29yZD5HZW5ldGljIFRlc3Rpbmc8L2tleXdvcmQ+PGtleXdvcmQ+KkhldGVyb3p5Z290ZTwva2V5
d29yZD48a2V5d29yZD5IdW1hbnM8L2tleXdvcmQ+PGtleXdvcmQ+SW5jaWRlbmNlPC9rZXl3b3Jk
PjxrZXl3b3JkPkpld3MvKmdlbmV0aWNzPC9rZXl3b3JkPjxrZXl3b3JkPlByZWNvbmNlcHRpb24g
Q2FyZTwva2V5d29yZD48a2V5d29yZD5QcmVnbmFuY3k8L2tleXdvcmQ+PGtleXdvcmQ+UHJlbmF0
YWwgRGlhZ25vc2lzPC9rZXl3b3JkPjxrZXl3b3JkPlJldHJvc3BlY3RpdmUgU3R1ZGllczwva2V5
d29yZD48a2V5d29yZD5TY2hvb2xzPC9rZXl3b3JkPjxrZXl3b3JkPlN1cnZleXMgYW5kIFF1ZXN0
aW9ubmFpcmVzPC9rZXl3b3JkPjxrZXl3b3JkPlRheS1TYWNocyBEaXNlYXNlLypkaWFnbm9zaXMv
KmVwaWRlbWlvbG9neS9nZW5ldGljczwva2V5d29yZD48a2V5d29yZD5Zb3VuZyBBZHVsdDwva2V5
d29yZD48L2tleXdvcmRzPjxkYXRlcz48eWVhcj4yMDEyPC95ZWFyPjxwdWItZGF0ZXM+PGRhdGU+
RGVjIDEwPC9kYXRlPjwvcHViLWRhdGVzPjwvZGF0ZXM+PGlzYm4+MDAyNS03Mjl4PC9pc2JuPjxh
Y2Nlc3Npb24tbnVtPjIzMjMwOTM4PC9hY2Nlc3Npb24tbnVtPjx1cmxzPjxyZWxhdGVkLXVybHM+
PHVybD5odHRwczovL29ubGluZWxpYnJhcnkud2lsZXkuY29tL2RvaS9hYnMvMTAuNTY5NC9tamEx
Mi4xMTAxMDwvdXJsPjwvcmVsYXRlZC11cmxzPjwvdXJscz48ZWxlY3Ryb25pYy1yZXNvdXJjZS1u
dW0+MTAuNTY5NC9tamExMi4xMTAxMDwvZWxlY3Ryb25pYy1yZXNvdXJjZS1udW0+PHJlbW90ZS1k
YXRhYmFzZS1wcm92aWRlcj5OTE08L3JlbW90ZS1kYXRhYmFzZS1wcm92aWRlcj48bGFuZ3VhZ2U+
ZW5nPC9sYW5ndWFnZT48L3JlY29yZD48L0NpdGU+PC9FbmROb3RlPn==
</w:fldData>
        </w:fldChar>
      </w:r>
      <w:r>
        <w:instrText xml:space="preserve"> ADDIN EN.CITE </w:instrText>
      </w:r>
      <w:r>
        <w:fldChar w:fldCharType="begin">
          <w:fldData xml:space="preserve">PEVuZE5vdGU+PENpdGU+PEF1dGhvcj5MZXc8L0F1dGhvcj48WWVhcj4yMDEyPC9ZZWFyPjxSZWNO
dW0+MjQ8L1JlY051bT48RGlzcGxheVRleHQ+KExldyBldCBhbC4sIDIwMTIpPC9EaXNwbGF5VGV4
dD48cmVjb3JkPjxyZWMtbnVtYmVyPjI0PC9yZWMtbnVtYmVyPjxmb3JlaWduLWtleXM+PGtleSBh
cHA9IkVOIiBkYi1pZD0idHZkMngyYWVwcnA5MHRlMjJlb3g5dHZ4ZmUyYTB4djB0ZGZzIiB0aW1l
c3RhbXA9IjE2MjMzNzMxNTgiPjI0PC9rZXk+PC9mb3JlaWduLWtleXM+PHJlZi10eXBlIG5hbWU9
IkpvdXJuYWwgQXJ0aWNsZSI+MTc8L3JlZi10eXBlPjxjb250cmlidXRvcnM+PGF1dGhvcnM+PGF1
dGhvcj5MZXcsIFIuIE0uPC9hdXRob3I+PGF1dGhvcj5Qcm9vcywgQS4gTC48L2F1dGhvcj48YXV0
aG9yPkJ1cm5ldHQsIEwuPC9hdXRob3I+PGF1dGhvcj5EZWxhdHlja2ksIE0uPC9hdXRob3I+PGF1
dGhvcj5CYW5raWVyLCBBLjwvYXV0aG9yPjxhdXRob3I+RmlldHosIE0uIEouPC9hdXRob3I+PC9h
dXRob3JzPjwvY29udHJpYnV0b3JzPjxhdXRoLWFkZHJlc3M+RGVwYXJ0bWVudCBvZiBPYnN0ZXRy
aWNzLCBHeW5hZWNvbG9neSBhbmQgTmVvbmF0b2xvZ3ksIFVuaXZlcnNpdHkgb2YgU3lkbmV5LCBh
bmQgUGFjaWZpYyBMYWJvcmF0b3J5IE1lZGljaW5lIFNlcnZpY2VzLCBQYXRob2xvZ3kgTm9ydGgs
IE5TVyBIZWFsdGggUGF0aG9sb2d5LCBSb3lhbCBOb3J0aCBTaG9yZSBIb3NwaXRhbCwgU3lkbmV5
LCBOU1csIEF1c3RyYWxpYS4gcmxldzIwNjRAdW5pLnN5ZG5leS5lZHUuYXU8L2F1dGgtYWRkcmVz
cz48dGl0bGVzPjx0aXRsZT5UYXkgU2FjaHMgZGlzZWFzZSBpbiBBdXN0cmFsaWE6IHJlZHVjZWQg
ZGlzZWFzZSBpbmNpZGVuY2UgZGVzcGl0ZSBzdGFibGUgY2FycmllciBmcmVxdWVuY3kgaW4gQXVz
dHJhbGlhbiBKZXdzPC90aXRsZT48c2Vjb25kYXJ5LXRpdGxlPk1lZCBKIEF1c3Q8L3NlY29uZGFy
eS10aXRsZT48L3RpdGxlcz48cGVyaW9kaWNhbD48ZnVsbC10aXRsZT5NZWQgSiBBdXN0PC9mdWxs
LXRpdGxlPjwvcGVyaW9kaWNhbD48cGFnZXM+NjUyLTQ8L3BhZ2VzPjx2b2x1bWU+MTk3PC92b2x1
bWU+PG51bWJlcj4xMTwvbnVtYmVyPjxlZGl0aW9uPjIwMTIvMTIvMTM8L2VkaXRpb24+PGtleXdv
cmRzPjxrZXl3b3JkPkFkb2xlc2NlbnQ8L2tleXdvcmQ+PGtleXdvcmQ+QWR1bHQ8L2tleXdvcmQ+
PGtleXdvcmQ+QXVzdHJhbGlhL2VwaWRlbWlvbG9neTwva2V5d29yZD48a2V5d29yZD5GZW1hbGU8
L2tleXdvcmQ+PGtleXdvcmQ+R2VuZXRpYyBDYXJyaWVyIFNjcmVlbmluZzwva2V5d29yZD48a2V5
d29yZD5HZW5ldGljIFRlc3Rpbmc8L2tleXdvcmQ+PGtleXdvcmQ+KkhldGVyb3p5Z290ZTwva2V5
d29yZD48a2V5d29yZD5IdW1hbnM8L2tleXdvcmQ+PGtleXdvcmQ+SW5jaWRlbmNlPC9rZXl3b3Jk
PjxrZXl3b3JkPkpld3MvKmdlbmV0aWNzPC9rZXl3b3JkPjxrZXl3b3JkPlByZWNvbmNlcHRpb24g
Q2FyZTwva2V5d29yZD48a2V5d29yZD5QcmVnbmFuY3k8L2tleXdvcmQ+PGtleXdvcmQ+UHJlbmF0
YWwgRGlhZ25vc2lzPC9rZXl3b3JkPjxrZXl3b3JkPlJldHJvc3BlY3RpdmUgU3R1ZGllczwva2V5
d29yZD48a2V5d29yZD5TY2hvb2xzPC9rZXl3b3JkPjxrZXl3b3JkPlN1cnZleXMgYW5kIFF1ZXN0
aW9ubmFpcmVzPC9rZXl3b3JkPjxrZXl3b3JkPlRheS1TYWNocyBEaXNlYXNlLypkaWFnbm9zaXMv
KmVwaWRlbWlvbG9neS9nZW5ldGljczwva2V5d29yZD48a2V5d29yZD5Zb3VuZyBBZHVsdDwva2V5
d29yZD48L2tleXdvcmRzPjxkYXRlcz48eWVhcj4yMDEyPC95ZWFyPjxwdWItZGF0ZXM+PGRhdGU+
RGVjIDEwPC9kYXRlPjwvcHViLWRhdGVzPjwvZGF0ZXM+PGlzYm4+MDAyNS03Mjl4PC9pc2JuPjxh
Y2Nlc3Npb24tbnVtPjIzMjMwOTM4PC9hY2Nlc3Npb24tbnVtPjx1cmxzPjxyZWxhdGVkLXVybHM+
PHVybD5odHRwczovL29ubGluZWxpYnJhcnkud2lsZXkuY29tL2RvaS9hYnMvMTAuNTY5NC9tamEx
Mi4xMTAxMDwvdXJsPjwvcmVsYXRlZC11cmxzPjwvdXJscz48ZWxlY3Ryb25pYy1yZXNvdXJjZS1u
dW0+MTAuNTY5NC9tamExMi4xMTAxMDwvZWxlY3Ryb25pYy1yZXNvdXJjZS1udW0+PHJlbW90ZS1k
YXRhYmFzZS1wcm92aWRlcj5OTE08L3JlbW90ZS1kYXRhYmFzZS1wcm92aWRlcj48bGFuZ3VhZ2U+
ZW5nPC9sYW5ndWFnZT48L3JlY29yZD48L0NpdGU+PC9FbmROb3RlPn==
</w:fldData>
        </w:fldChar>
      </w:r>
      <w:r>
        <w:instrText xml:space="preserve"> ADDIN EN.CITE.DATA </w:instrText>
      </w:r>
      <w:r>
        <w:fldChar w:fldCharType="end"/>
      </w:r>
      <w:r>
        <w:fldChar w:fldCharType="separate"/>
      </w:r>
      <w:r>
        <w:rPr>
          <w:noProof/>
        </w:rPr>
        <w:t>(Lew et al., 2012)</w:t>
      </w:r>
      <w:r>
        <w:fldChar w:fldCharType="end"/>
      </w:r>
      <w:r>
        <w:t xml:space="preserve">, with one in 25 people being carriers of </w:t>
      </w:r>
      <w:r w:rsidR="00020846">
        <w:t xml:space="preserve">a </w:t>
      </w:r>
      <w:r w:rsidR="0004535A">
        <w:t xml:space="preserve">pathogenic </w:t>
      </w:r>
      <w:r w:rsidRPr="007D5EDC">
        <w:rPr>
          <w:i/>
          <w:iCs/>
        </w:rPr>
        <w:t>HEXA</w:t>
      </w:r>
      <w:r>
        <w:t xml:space="preserve"> gene</w:t>
      </w:r>
      <w:r w:rsidR="0004535A">
        <w:t xml:space="preserve"> variant</w:t>
      </w:r>
      <w:r>
        <w:t xml:space="preserve">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 xml:space="preserve">. The disease is rarer in the general Australian population with a carrier frequency of one in 250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 xml:space="preserve">. Based on an estimate of 1,224 births among </w:t>
      </w:r>
      <w:r w:rsidR="00633C05">
        <w:t>Ashkenazi Jewish</w:t>
      </w:r>
      <w:r>
        <w:t xml:space="preserve"> population in 2016 </w:t>
      </w:r>
      <w:r>
        <w:fldChar w:fldCharType="begin"/>
      </w:r>
      <w:r>
        <w:instrText xml:space="preserve"> ADDIN EN.CITE &lt;EndNote&gt;&lt;Cite&gt;&lt;Author&gt;Graham&lt;/Author&gt;&lt;Year&gt;2019&lt;/Year&gt;&lt;RecNum&gt;71&lt;/RecNum&gt;&lt;DisplayText&gt;(Graham &amp;amp; Narunsky, 2019)&lt;/DisplayText&gt;&lt;record&gt;&lt;rec-number&gt;71&lt;/rec-number&gt;&lt;foreign-keys&gt;&lt;key app="EN" db-id="tvd2x2aeprp90te22eox9tvxfe2a0xv0tdfs" timestamp="1623373160"&gt;71&lt;/key&gt;&lt;/foreign-keys&gt;&lt;ref-type name="Report"&gt;27&lt;/ref-type&gt;&lt;contributors&gt;&lt;authors&gt;&lt;author&gt;Graham, D.&lt;/author&gt;&lt;author&gt;Narunsky, L.&lt;/author&gt;&lt;/authors&gt;&lt;tertiary-authors&gt;&lt;author&gt;Jewish Community Appeal (JCA)&lt;/author&gt;&lt;/tertiary-authors&gt;&lt;/contributors&gt;&lt;titles&gt;&lt;title&gt;The Jewish population of Australia- Key findings from the 2016 census&lt;/title&gt;&lt;/titles&gt;&lt;dates&gt;&lt;year&gt;2019&lt;/year&gt;&lt;/dates&gt;&lt;pub-location&gt;Sydney, Australia&lt;/pub-location&gt;&lt;publisher&gt;Monash University&amp;apos;s Australian Centre for Jewish Civilisation- Jewish Community Appeal&lt;/publisher&gt;&lt;urls&gt;&lt;related-urls&gt;&lt;url&gt;https://jca.org.au/wp-content/uploads/2020/06/Census-Report-2016-1.1.pdf&lt;/url&gt;&lt;/related-urls&gt;&lt;/urls&gt;&lt;access-date&gt;2 July 2021&lt;/access-date&gt;&lt;/record&gt;&lt;/Cite&gt;&lt;/EndNote&gt;</w:instrText>
      </w:r>
      <w:r>
        <w:fldChar w:fldCharType="separate"/>
      </w:r>
      <w:r>
        <w:rPr>
          <w:noProof/>
        </w:rPr>
        <w:t>(Graham &amp; Narunsky, 2019)</w:t>
      </w:r>
      <w:r>
        <w:fldChar w:fldCharType="end"/>
      </w:r>
      <w:r>
        <w:t xml:space="preserve">, approximately one baby in three years will be born with TSD among the </w:t>
      </w:r>
      <w:r w:rsidR="00633C05">
        <w:t>Ashkenazi Jewish</w:t>
      </w:r>
      <w:r>
        <w:t xml:space="preserve"> population in Australia. Based on the 2016 census of the total Jewish population of 117,903 in Australia </w:t>
      </w:r>
      <w:r>
        <w:fldChar w:fldCharType="begin"/>
      </w:r>
      <w:r>
        <w:instrText xml:space="preserve"> ADDIN EN.CITE &lt;EndNote&gt;&lt;Cite&gt;&lt;Author&gt;Graham&lt;/Author&gt;&lt;Year&gt;2019&lt;/Year&gt;&lt;RecNum&gt;71&lt;/RecNum&gt;&lt;DisplayText&gt;(Graham &amp;amp; Narunsky, 2019)&lt;/DisplayText&gt;&lt;record&gt;&lt;rec-number&gt;71&lt;/rec-number&gt;&lt;foreign-keys&gt;&lt;key app="EN" db-id="tvd2x2aeprp90te22eox9tvxfe2a0xv0tdfs" timestamp="1623373160"&gt;71&lt;/key&gt;&lt;/foreign-keys&gt;&lt;ref-type name="Report"&gt;27&lt;/ref-type&gt;&lt;contributors&gt;&lt;authors&gt;&lt;author&gt;Graham, D.&lt;/author&gt;&lt;author&gt;Narunsky, L.&lt;/author&gt;&lt;/authors&gt;&lt;tertiary-authors&gt;&lt;author&gt;Jewish Community Appeal (JCA)&lt;/author&gt;&lt;/tertiary-authors&gt;&lt;/contributors&gt;&lt;titles&gt;&lt;title&gt;The Jewish population of Australia- Key findings from the 2016 census&lt;/title&gt;&lt;/titles&gt;&lt;dates&gt;&lt;year&gt;2019&lt;/year&gt;&lt;/dates&gt;&lt;pub-location&gt;Sydney, Australia&lt;/pub-location&gt;&lt;publisher&gt;Monash University&amp;apos;s Australian Centre for Jewish Civilisation- Jewish Community Appeal&lt;/publisher&gt;&lt;urls&gt;&lt;related-urls&gt;&lt;url&gt;https://jca.org.au/wp-content/uploads/2020/06/Census-Report-2016-1.1.pdf&lt;/url&gt;&lt;/related-urls&gt;&lt;/urls&gt;&lt;access-date&gt;2 July 2021&lt;/access-date&gt;&lt;/record&gt;&lt;/Cite&gt;&lt;/EndNote&gt;</w:instrText>
      </w:r>
      <w:r>
        <w:fldChar w:fldCharType="separate"/>
      </w:r>
      <w:r>
        <w:rPr>
          <w:noProof/>
        </w:rPr>
        <w:t>(Graham &amp; Narunsky, 2019)</w:t>
      </w:r>
      <w:r>
        <w:fldChar w:fldCharType="end"/>
      </w:r>
      <w:r>
        <w:t xml:space="preserve">, approximately 4,717 people are carriers of the </w:t>
      </w:r>
      <w:r w:rsidR="0004535A">
        <w:t xml:space="preserve">pathogenic </w:t>
      </w:r>
      <w:r w:rsidRPr="007D5EDC">
        <w:rPr>
          <w:i/>
          <w:iCs/>
        </w:rPr>
        <w:t>HEXA</w:t>
      </w:r>
      <w:r>
        <w:t xml:space="preserve"> </w:t>
      </w:r>
      <w:r w:rsidR="0004535A">
        <w:t>variant</w:t>
      </w:r>
      <w:r>
        <w:t>.</w:t>
      </w:r>
    </w:p>
    <w:p w14:paraId="7B33BABB" w14:textId="528A553B" w:rsidR="007C3C21" w:rsidRDefault="007C3C21" w:rsidP="007C3C21">
      <w:r>
        <w:t xml:space="preserve">As described under the ‘population’ section, the population considered for this study will be individuals of </w:t>
      </w:r>
      <w:r w:rsidR="00633C05">
        <w:t>Ashkenazi Jewish</w:t>
      </w:r>
      <w:r>
        <w:t xml:space="preserve"> </w:t>
      </w:r>
      <w:r w:rsidRPr="000949AB">
        <w:t>ancestry</w:t>
      </w:r>
      <w:r>
        <w:t xml:space="preserve"> in Australia.</w:t>
      </w:r>
      <w:r>
        <w:rPr>
          <w:rStyle w:val="FootnoteReference"/>
        </w:rPr>
        <w:footnoteReference w:id="2"/>
      </w:r>
      <w:r>
        <w:t xml:space="preserve"> A </w:t>
      </w:r>
      <w:r w:rsidRPr="000949AB">
        <w:t xml:space="preserve">small number of </w:t>
      </w:r>
      <w:r w:rsidRPr="006C1968">
        <w:t xml:space="preserve">recessive </w:t>
      </w:r>
      <w:r w:rsidRPr="009B3973">
        <w:t>genetic</w:t>
      </w:r>
      <w:r w:rsidRPr="006C1968">
        <w:t xml:space="preserve"> conditions</w:t>
      </w:r>
      <w:r>
        <w:t xml:space="preserve"> are </w:t>
      </w:r>
      <w:r w:rsidRPr="000949AB">
        <w:t xml:space="preserve">responsible for </w:t>
      </w:r>
      <w:r w:rsidRPr="0054599F">
        <w:t>significant morbidity and mortality</w:t>
      </w:r>
      <w:r>
        <w:t xml:space="preserve"> in this sub-population, with some of these conditions being almost exclusive to the </w:t>
      </w:r>
      <w:r w:rsidR="00633C05">
        <w:t xml:space="preserve">Ashkenazi Jewish </w:t>
      </w:r>
      <w:r>
        <w:t xml:space="preserve">population (e.g., </w:t>
      </w:r>
      <w:r w:rsidR="00633C05">
        <w:t>FD</w:t>
      </w:r>
      <w:r>
        <w:t xml:space="preserve">), some being more common in the </w:t>
      </w:r>
      <w:r w:rsidR="00633C05">
        <w:t>Ashkenazi Jewish</w:t>
      </w:r>
      <w:r>
        <w:t xml:space="preserve"> population (e.g</w:t>
      </w:r>
      <w:r w:rsidR="00633C05">
        <w:t>. TSD</w:t>
      </w:r>
      <w:r>
        <w:t xml:space="preserve">), and some being as common as in the general population (e.g., </w:t>
      </w:r>
      <w:r w:rsidR="00633C05">
        <w:t>CF</w:t>
      </w:r>
      <w:r>
        <w:t xml:space="preserve">)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t xml:space="preserve">. A 2013 population screening study reported that 30.2% of individuals with </w:t>
      </w:r>
      <w:r w:rsidRPr="000949AB">
        <w:t>Ashkenazi Jewish</w:t>
      </w:r>
      <w:r>
        <w:t xml:space="preserve"> ancestry were carriers for at least one condition, but 10.1% were carriers for two and 2.5% were carriers for three conditions </w:t>
      </w:r>
      <w:r>
        <w:fldChar w:fldCharType="begin">
          <w:fldData xml:space="preserve">PEVuZE5vdGU+PENpdGU+PEF1dGhvcj5MYXphcmluPC9BdXRob3I+PFllYXI+MjAxMzwvWWVhcj48
UmVjTnVtPjU8L1JlY051bT48SURUZXh0PjIyOTc1NzYwPC9JRFRleHQ+PERpc3BsYXlUZXh0PihM
YXphcmluIGV0IGFsLiwgMjAxMyk8L0Rpc3BsYXlUZXh0PjxyZWNvcmQ+PHJlYy1udW1iZXI+NTwv
cmVjLW51bWJlcj48Zm9yZWlnbi1rZXlzPjxrZXkgYXBwPSJFTiIgZGItaWQ9InR2ZDJ4MmFlcHJw
OTB0ZTIyZW94OXR2eGZlMmEweHYwdGRmcyIgdGltZXN0YW1wPSIxNjIzMzczMTU4Ij41PC9rZXk+
PC9mb3JlaWduLWtleXM+PHJlZi10eXBlIG5hbWU9IkpvdXJuYWwgQXJ0aWNsZSI+MTc8L3JlZi10
eXBlPjxjb250cmlidXRvcnM+PGF1dGhvcnM+PGF1dGhvcj5MYXphcmluLCBHLiBBLjwvYXV0aG9y
PjxhdXRob3I+SGFxdWUsIEkuIFMuPC9hdXRob3I+PGF1dGhvcj5OYXphcmV0aCwgUy48L2F1dGhv
cj48YXV0aG9yPklvcmksIEsuPC9hdXRob3I+PGF1dGhvcj5QYXR0ZXJzb24sIEEuIFMuPC9hdXRo
b3I+PGF1dGhvcj5KYWNvYnNvbiwgSi4gTC48L2F1dGhvcj48YXV0aG9yPk1hcnNoYWxsLCBKLiBS
LjwvYXV0aG9yPjxhdXRob3I+U2VsdHplciwgVy4gSy48L2F1dGhvcj48YXV0aG9yPlBhdHJpemlv
LCBQLjwvYXV0aG9yPjxhdXRob3I+RXZhbnMsIEUuIEEuPC9hdXRob3I+PGF1dGhvcj5TcmluaXZh
c2FuLCBCLiBTLjwvYXV0aG9yPjwvYXV0aG9ycz48L2NvbnRyaWJ1dG9ycz48YXV0aC1hZGRyZXNz
PkRlcGFydG1lbnQgb2YgR2VuZXRpY3MsIENvdW5zeWwsIFNvdXRoIFNhbiBGcmFuY2lzY28sIENh
bGlmb3JuaWEsIFVTQS48L2F1dGgtYWRkcmVzcz48dGl0bGVzPjx0aXRsZT5BbiBlbXBpcmljYWwg
ZXN0aW1hdGUgb2YgY2FycmllciBmcmVxdWVuY2llcyBmb3IgNDAwKyBjYXVzYWwgTWVuZGVsaWFu
IHZhcmlhbnRzOiByZXN1bHRzIGZyb20gYW4gZXRobmljYWxseSBkaXZlcnNlIGNsaW5pY2FsIHNh
bXBsZSBvZiAyMyw0NTMgaW5kaXZpZHVhbHM8L3RpdGxlPjxzZWNvbmRhcnktdGl0bGU+R2VuZXQg
TWVkPC9zZWNvbmRhcnktdGl0bGU+PC90aXRsZXM+PHBlcmlvZGljYWw+PGZ1bGwtdGl0bGU+R2Vu
ZXQgTWVkPC9mdWxsLXRpdGxlPjwvcGVyaW9kaWNhbD48cGFnZXM+MTc4LTg2PC9wYWdlcz48dm9s
dW1lPjE1PC92b2x1bWU+PG51bWJlcj4zPC9udW1iZXI+PGVkaXRpb24+MjAxMi8wOS8xNTwvZWRp
dGlvbj48a2V5d29yZHM+PGtleXdvcmQ+QWRvbGVzY2VudDwva2V5d29yZD48a2V5d29yZD5BZHVs
dDwva2V5d29yZD48a2V5d29yZD5FdGhuaWMgR3JvdXBzL2dlbmV0aWNzPC9rZXl3b3JkPjxrZXl3
b3JkPkZlbWFsZTwva2V5d29yZD48a2V5d29yZD5HZW5lIEZyZXF1ZW5jeTwva2V5d29yZD48a2V5
d29yZD4qR2VuZXRpYyBDYXJyaWVyIFNjcmVlbmluZy9tZXRob2RzPC9rZXl3b3JkPjxrZXl3b3Jk
PkdlbmV0aWMgRGlzZWFzZXMsIEluYm9ybi8qZXBpZGVtaW9sb2d5LypnZW5ldGljczwva2V5d29y
ZD48a2V5d29yZD4qSGV0ZXJvenlnb3RlPC9rZXl3b3JkPjxrZXl3b3JkPkh1bWFuczwva2V5d29y
ZD48a2V5d29yZD5NYWxlPC9rZXl3b3JkPjxrZXl3b3JkPk1pZGRsZSBBZ2VkPC9rZXl3b3JkPjxr
ZXl3b3JkPllvdW5nIEFkdWx0PC9rZXl3b3JkPjwva2V5d29yZHM+PGRhdGVzPjx5ZWFyPjIwMTM8
L3llYXI+PHB1Yi1kYXRlcz48ZGF0ZT5NYXI8L2RhdGU+PC9wdWItZGF0ZXM+PC9kYXRlcz48aXNi
bj4xMDk4LTM2MDAgKFByaW50KSYjeEQ7MTA5OC0zNjAwPC9pc2JuPjxhY2Nlc3Npb24tbnVtPjIy
OTc1NzYwPC9hY2Nlc3Npb24tbnVtPjx1cmxzPjxyZWxhdGVkLXVybHM+PHVybD5odHRwczovL3d3
dy5uY2JpLm5sbS5uaWguZ292L3BtYy9hcnRpY2xlcy9QTUMzOTA4NTUxL3BkZi9naW0yMDEyMTE0
YS5wZGY8L3VybD48L3JlbGF0ZWQtdXJscz48L3VybHM+PGN1c3RvbTI+UE1DMzkwODU1MTwvY3Vz
dG9tMj48ZWxlY3Ryb25pYy1yZXNvdXJjZS1udW0+MTAuMTAzOC9naW0uMjAxMi4xMTQ8L2VsZWN0
cm9uaWMtcmVzb3VyY2UtbnVtPjxyZW1vdGUtZGF0YWJhc2UtcHJvdmlkZXI+TkxNPC9yZW1vdGUt
ZGF0YWJhc2UtcHJvdmlkZXI+PGxhbmd1YWdlPmVuZzwvbGFuZ3VhZ2U+PC9yZWNvcmQ+PC9DaXRl
PjwvRW5kTm90ZT5=
</w:fldData>
        </w:fldChar>
      </w:r>
      <w:r>
        <w:instrText xml:space="preserve"> ADDIN EN.CITE </w:instrText>
      </w:r>
      <w:r>
        <w:fldChar w:fldCharType="begin">
          <w:fldData xml:space="preserve">PEVuZE5vdGU+PENpdGU+PEF1dGhvcj5MYXphcmluPC9BdXRob3I+PFllYXI+MjAxMzwvWWVhcj48
UmVjTnVtPjU8L1JlY051bT48SURUZXh0PjIyOTc1NzYwPC9JRFRleHQ+PERpc3BsYXlUZXh0PihM
YXphcmluIGV0IGFsLiwgMjAxMyk8L0Rpc3BsYXlUZXh0PjxyZWNvcmQ+PHJlYy1udW1iZXI+NTwv
cmVjLW51bWJlcj48Zm9yZWlnbi1rZXlzPjxrZXkgYXBwPSJFTiIgZGItaWQ9InR2ZDJ4MmFlcHJw
OTB0ZTIyZW94OXR2eGZlMmEweHYwdGRmcyIgdGltZXN0YW1wPSIxNjIzMzczMTU4Ij41PC9rZXk+
PC9mb3JlaWduLWtleXM+PHJlZi10eXBlIG5hbWU9IkpvdXJuYWwgQXJ0aWNsZSI+MTc8L3JlZi10
eXBlPjxjb250cmlidXRvcnM+PGF1dGhvcnM+PGF1dGhvcj5MYXphcmluLCBHLiBBLjwvYXV0aG9y
PjxhdXRob3I+SGFxdWUsIEkuIFMuPC9hdXRob3I+PGF1dGhvcj5OYXphcmV0aCwgUy48L2F1dGhv
cj48YXV0aG9yPklvcmksIEsuPC9hdXRob3I+PGF1dGhvcj5QYXR0ZXJzb24sIEEuIFMuPC9hdXRo
b3I+PGF1dGhvcj5KYWNvYnNvbiwgSi4gTC48L2F1dGhvcj48YXV0aG9yPk1hcnNoYWxsLCBKLiBS
LjwvYXV0aG9yPjxhdXRob3I+U2VsdHplciwgVy4gSy48L2F1dGhvcj48YXV0aG9yPlBhdHJpemlv
LCBQLjwvYXV0aG9yPjxhdXRob3I+RXZhbnMsIEUuIEEuPC9hdXRob3I+PGF1dGhvcj5TcmluaXZh
c2FuLCBCLiBTLjwvYXV0aG9yPjwvYXV0aG9ycz48L2NvbnRyaWJ1dG9ycz48YXV0aC1hZGRyZXNz
PkRlcGFydG1lbnQgb2YgR2VuZXRpY3MsIENvdW5zeWwsIFNvdXRoIFNhbiBGcmFuY2lzY28sIENh
bGlmb3JuaWEsIFVTQS48L2F1dGgtYWRkcmVzcz48dGl0bGVzPjx0aXRsZT5BbiBlbXBpcmljYWwg
ZXN0aW1hdGUgb2YgY2FycmllciBmcmVxdWVuY2llcyBmb3IgNDAwKyBjYXVzYWwgTWVuZGVsaWFu
IHZhcmlhbnRzOiByZXN1bHRzIGZyb20gYW4gZXRobmljYWxseSBkaXZlcnNlIGNsaW5pY2FsIHNh
bXBsZSBvZiAyMyw0NTMgaW5kaXZpZHVhbHM8L3RpdGxlPjxzZWNvbmRhcnktdGl0bGU+R2VuZXQg
TWVkPC9zZWNvbmRhcnktdGl0bGU+PC90aXRsZXM+PHBlcmlvZGljYWw+PGZ1bGwtdGl0bGU+R2Vu
ZXQgTWVkPC9mdWxsLXRpdGxlPjwvcGVyaW9kaWNhbD48cGFnZXM+MTc4LTg2PC9wYWdlcz48dm9s
dW1lPjE1PC92b2x1bWU+PG51bWJlcj4zPC9udW1iZXI+PGVkaXRpb24+MjAxMi8wOS8xNTwvZWRp
dGlvbj48a2V5d29yZHM+PGtleXdvcmQ+QWRvbGVzY2VudDwva2V5d29yZD48a2V5d29yZD5BZHVs
dDwva2V5d29yZD48a2V5d29yZD5FdGhuaWMgR3JvdXBzL2dlbmV0aWNzPC9rZXl3b3JkPjxrZXl3
b3JkPkZlbWFsZTwva2V5d29yZD48a2V5d29yZD5HZW5lIEZyZXF1ZW5jeTwva2V5d29yZD48a2V5
d29yZD4qR2VuZXRpYyBDYXJyaWVyIFNjcmVlbmluZy9tZXRob2RzPC9rZXl3b3JkPjxrZXl3b3Jk
PkdlbmV0aWMgRGlzZWFzZXMsIEluYm9ybi8qZXBpZGVtaW9sb2d5LypnZW5ldGljczwva2V5d29y
ZD48a2V5d29yZD4qSGV0ZXJvenlnb3RlPC9rZXl3b3JkPjxrZXl3b3JkPkh1bWFuczwva2V5d29y
ZD48a2V5d29yZD5NYWxlPC9rZXl3b3JkPjxrZXl3b3JkPk1pZGRsZSBBZ2VkPC9rZXl3b3JkPjxr
ZXl3b3JkPllvdW5nIEFkdWx0PC9rZXl3b3JkPjwva2V5d29yZHM+PGRhdGVzPjx5ZWFyPjIwMTM8
L3llYXI+PHB1Yi1kYXRlcz48ZGF0ZT5NYXI8L2RhdGU+PC9wdWItZGF0ZXM+PC9kYXRlcz48aXNi
bj4xMDk4LTM2MDAgKFByaW50KSYjeEQ7MTA5OC0zNjAwPC9pc2JuPjxhY2Nlc3Npb24tbnVtPjIy
OTc1NzYwPC9hY2Nlc3Npb24tbnVtPjx1cmxzPjxyZWxhdGVkLXVybHM+PHVybD5odHRwczovL3d3
dy5uY2JpLm5sbS5uaWguZ292L3BtYy9hcnRpY2xlcy9QTUMzOTA4NTUxL3BkZi9naW0yMDEyMTE0
YS5wZGY8L3VybD48L3JlbGF0ZWQtdXJscz48L3VybHM+PGN1c3RvbTI+UE1DMzkwODU1MTwvY3Vz
dG9tMj48ZWxlY3Ryb25pYy1yZXNvdXJjZS1udW0+MTAuMTAzOC9naW0uMjAxMi4xMTQ8L2VsZWN0
cm9uaWMtcmVzb3VyY2UtbnVtPjxyZW1vdGUtZGF0YWJhc2UtcHJvdmlkZXI+TkxNPC9yZW1vdGUt
ZGF0YWJhc2UtcHJvdmlkZXI+PGxhbmd1YWdlPmVuZzwvbGFuZ3VhZ2U+PC9yZWNvcmQ+PC9DaXRl
PjwvRW5kTm90ZT5=
</w:fldData>
        </w:fldChar>
      </w:r>
      <w:r>
        <w:instrText xml:space="preserve"> ADDIN EN.CITE.DATA </w:instrText>
      </w:r>
      <w:r>
        <w:fldChar w:fldCharType="end"/>
      </w:r>
      <w:r>
        <w:fldChar w:fldCharType="separate"/>
      </w:r>
      <w:r>
        <w:rPr>
          <w:noProof/>
        </w:rPr>
        <w:t>(Lazarin et al., 2013)</w:t>
      </w:r>
      <w:r>
        <w:fldChar w:fldCharType="end"/>
      </w:r>
      <w:r>
        <w:t>. Therefore, a</w:t>
      </w:r>
      <w:r w:rsidRPr="00684489">
        <w:t xml:space="preserve">lthough individual conditions may be rare in themselves, about 1 in 5 </w:t>
      </w:r>
      <w:r>
        <w:t xml:space="preserve">(20%) </w:t>
      </w:r>
      <w:r w:rsidR="00633C05">
        <w:t>Ashkenazi Jewish</w:t>
      </w:r>
      <w:r w:rsidRPr="00684489">
        <w:t xml:space="preserve"> individuals screened with a </w:t>
      </w:r>
      <w:r>
        <w:t xml:space="preserve">relatively small </w:t>
      </w:r>
      <w:r w:rsidRPr="00895570">
        <w:t>gene panel</w:t>
      </w:r>
      <w:r w:rsidRPr="00684489">
        <w:t xml:space="preserve"> will be carriers for one or more of these conditions</w:t>
      </w:r>
      <w:r>
        <w:t xml:space="preserve">, including: </w:t>
      </w:r>
      <w:r w:rsidR="00633C05">
        <w:t>TSD</w:t>
      </w:r>
      <w:r>
        <w:t xml:space="preserve"> (variants in the </w:t>
      </w:r>
      <w:r w:rsidRPr="00E9459E">
        <w:rPr>
          <w:rStyle w:val="Emphasis"/>
        </w:rPr>
        <w:t xml:space="preserve">HEXA </w:t>
      </w:r>
      <w:r w:rsidRPr="00551E57">
        <w:t>gene)</w:t>
      </w:r>
      <w:r>
        <w:rPr>
          <w:i/>
          <w:iCs/>
        </w:rPr>
        <w:t xml:space="preserve">, </w:t>
      </w:r>
      <w:r>
        <w:t>CF (</w:t>
      </w:r>
      <w:r w:rsidRPr="00E9459E">
        <w:rPr>
          <w:rStyle w:val="Emphasis"/>
        </w:rPr>
        <w:t>CFTR</w:t>
      </w:r>
      <w:r>
        <w:t xml:space="preserve">), </w:t>
      </w:r>
      <w:r w:rsidR="00633C05">
        <w:t>CD</w:t>
      </w:r>
      <w:r>
        <w:t xml:space="preserve"> (</w:t>
      </w:r>
      <w:r w:rsidRPr="00E9459E">
        <w:rPr>
          <w:rStyle w:val="Emphasis"/>
        </w:rPr>
        <w:t>ASPA</w:t>
      </w:r>
      <w:r w:rsidRPr="00191E7A">
        <w:rPr>
          <w:iCs/>
        </w:rPr>
        <w:t>)</w:t>
      </w:r>
      <w:r>
        <w:rPr>
          <w:iCs/>
        </w:rPr>
        <w:t xml:space="preserve">, </w:t>
      </w:r>
      <w:r w:rsidR="00633C05">
        <w:t>FD</w:t>
      </w:r>
      <w:r>
        <w:t xml:space="preserve"> (</w:t>
      </w:r>
      <w:r w:rsidRPr="00E9459E">
        <w:rPr>
          <w:rStyle w:val="Emphasis"/>
        </w:rPr>
        <w:t>ELP1</w:t>
      </w:r>
      <w:r>
        <w:rPr>
          <w:rStyle w:val="genesymbol"/>
        </w:rPr>
        <w:t xml:space="preserve">), </w:t>
      </w:r>
      <w:r w:rsidR="00633C05">
        <w:t>NPD</w:t>
      </w:r>
      <w:r>
        <w:t xml:space="preserve"> (</w:t>
      </w:r>
      <w:r w:rsidRPr="000D6B8A">
        <w:rPr>
          <w:i/>
          <w:iCs/>
        </w:rPr>
        <w:t>SMPD1</w:t>
      </w:r>
      <w:r w:rsidRPr="00191E7A">
        <w:rPr>
          <w:iCs/>
        </w:rPr>
        <w:t>)</w:t>
      </w:r>
      <w:r>
        <w:rPr>
          <w:iCs/>
        </w:rPr>
        <w:t xml:space="preserve">, </w:t>
      </w:r>
      <w:r w:rsidR="00D867FB">
        <w:t>BS</w:t>
      </w:r>
      <w:r>
        <w:t xml:space="preserve"> (</w:t>
      </w:r>
      <w:r w:rsidR="00FC7F18">
        <w:rPr>
          <w:rStyle w:val="Emphasis"/>
        </w:rPr>
        <w:t>BLM</w:t>
      </w:r>
      <w:r w:rsidRPr="00191E7A">
        <w:rPr>
          <w:iCs/>
        </w:rPr>
        <w:t xml:space="preserve">), </w:t>
      </w:r>
      <w:r w:rsidR="00633C05">
        <w:t>MLD</w:t>
      </w:r>
      <w:r>
        <w:t xml:space="preserve"> (</w:t>
      </w:r>
      <w:r w:rsidRPr="00E9459E">
        <w:rPr>
          <w:rStyle w:val="Emphasis"/>
        </w:rPr>
        <w:t>MCOLN1</w:t>
      </w:r>
      <w:r w:rsidRPr="00A41637">
        <w:rPr>
          <w:iCs/>
        </w:rPr>
        <w:t>)</w:t>
      </w:r>
      <w:r>
        <w:rPr>
          <w:iCs/>
        </w:rPr>
        <w:t xml:space="preserve">, </w:t>
      </w:r>
      <w:r w:rsidR="00633C05">
        <w:t>GS</w:t>
      </w:r>
      <w:r w:rsidRPr="00A41637">
        <w:t xml:space="preserve"> (</w:t>
      </w:r>
      <w:r w:rsidRPr="00E9459E">
        <w:rPr>
          <w:rStyle w:val="Emphasis"/>
        </w:rPr>
        <w:t>G6PC</w:t>
      </w:r>
      <w:r w:rsidR="00FC7F18">
        <w:rPr>
          <w:rStyle w:val="Emphasis"/>
        </w:rPr>
        <w:t>1</w:t>
      </w:r>
      <w:r w:rsidRPr="00A41637">
        <w:t>)</w:t>
      </w:r>
      <w:r>
        <w:t xml:space="preserve">, </w:t>
      </w:r>
      <w:r w:rsidR="00633C05">
        <w:t>FA</w:t>
      </w:r>
      <w:r>
        <w:t xml:space="preserve"> (</w:t>
      </w:r>
      <w:r w:rsidR="0067664E" w:rsidRPr="0067664E">
        <w:rPr>
          <w:i/>
          <w:iCs/>
        </w:rPr>
        <w:t>FANCA</w:t>
      </w:r>
      <w:r w:rsidR="0067664E">
        <w:t xml:space="preserve">, </w:t>
      </w:r>
      <w:r w:rsidRPr="00E9459E">
        <w:rPr>
          <w:rStyle w:val="Emphasis"/>
        </w:rPr>
        <w:t>FANCC</w:t>
      </w:r>
      <w:r w:rsidR="0067664E">
        <w:rPr>
          <w:rStyle w:val="Emphasis"/>
        </w:rPr>
        <w:t>, FANCG</w:t>
      </w:r>
      <w:r w:rsidRPr="00A41637">
        <w:rPr>
          <w:iCs/>
        </w:rPr>
        <w:t>)</w:t>
      </w:r>
      <w:r>
        <w:rPr>
          <w:iCs/>
        </w:rPr>
        <w:t>, SMA (</w:t>
      </w:r>
      <w:r>
        <w:rPr>
          <w:rStyle w:val="Emphasis"/>
        </w:rPr>
        <w:t>SMN1</w:t>
      </w:r>
      <w:r>
        <w:rPr>
          <w:iCs/>
        </w:rPr>
        <w:t xml:space="preserve">) and </w:t>
      </w:r>
      <w:r w:rsidR="00633C05">
        <w:t>GD</w:t>
      </w:r>
      <w:r>
        <w:t xml:space="preserve"> (</w:t>
      </w:r>
      <w:r w:rsidRPr="00E9459E">
        <w:rPr>
          <w:rStyle w:val="Emphasis"/>
        </w:rPr>
        <w:t>GBA</w:t>
      </w:r>
      <w:r>
        <w:t xml:space="preserve">) </w:t>
      </w:r>
      <w:r>
        <w:fldChar w:fldCharType="begin"/>
      </w:r>
      <w:r>
        <w:instrText xml:space="preserve"> ADDIN EN.CITE &lt;EndNote&gt;&lt;Cite&gt;&lt;Author&gt;Dor Yeshorim&lt;/Author&gt;&lt;Year&gt;2019&lt;/Year&gt;&lt;RecNum&gt;6&lt;/RecNum&gt;&lt;DisplayText&gt;(Dor Yeshorim, 2019; HGSA, 2015)&lt;/DisplayText&gt;&lt;record&gt;&lt;rec-number&gt;6&lt;/rec-number&gt;&lt;foreign-keys&gt;&lt;key app="EN" db-id="tvd2x2aeprp90te22eox9tvxfe2a0xv0tdfs" timestamp="1623373158"&gt;6&lt;/key&gt;&lt;/foreign-keys&gt;&lt;ref-type name="Web Page"&gt;12&lt;/ref-type&gt;&lt;contributors&gt;&lt;authors&gt;&lt;author&gt;Dor Yeshorim,&lt;/author&gt;&lt;/authors&gt;&lt;/contributors&gt;&lt;titles&gt;&lt;title&gt;Standard Ashkenazi Panel&lt;/title&gt;&lt;/titles&gt;&lt;volume&gt;2020&lt;/volume&gt;&lt;number&gt;17th August&lt;/number&gt;&lt;dates&gt;&lt;year&gt;2019&lt;/year&gt;&lt;/dates&gt;&lt;publisher&gt;Dor Yeshorim: Committee for prevention of Jewish genetic diseases&lt;/publisher&gt;&lt;urls&gt;&lt;related-urls&gt;&lt;url&gt;https://doryeshorim.org/tests/&lt;/url&gt;&lt;/related-urls&gt;&lt;/urls&gt;&lt;/record&gt;&lt;/Cite&gt;&lt;Cite&gt;&lt;Author&gt;HGSA&lt;/Author&gt;&lt;Year&gt;2015&lt;/Year&gt;&lt;RecNum&gt;4&lt;/RecNum&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(Dor Yeshorim, 2019; HGSA, 2015)</w:t>
      </w:r>
      <w:r>
        <w:fldChar w:fldCharType="end"/>
      </w:r>
      <w:r>
        <w:t xml:space="preserve">. </w:t>
      </w:r>
      <w:r w:rsidR="00885873">
        <w:t xml:space="preserve">Although </w:t>
      </w:r>
      <w:r w:rsidR="00885873">
        <w:rPr>
          <w:i/>
          <w:iCs/>
        </w:rPr>
        <w:t>CFTR</w:t>
      </w:r>
      <w:r w:rsidR="00885873">
        <w:t xml:space="preserve"> and </w:t>
      </w:r>
      <w:r w:rsidR="00885873">
        <w:rPr>
          <w:i/>
          <w:iCs/>
        </w:rPr>
        <w:t>SMN1</w:t>
      </w:r>
      <w:r w:rsidR="00885873">
        <w:t xml:space="preserve"> may be included in the panel test, they are excluded from the intervention in this assessment as they have already been supported by MSAC</w:t>
      </w:r>
      <w:r w:rsidR="001F6806">
        <w:t xml:space="preserve"> and so form part of the comparator (except for any analyses using the alternative comparator of ‘no genetic testing’)</w:t>
      </w:r>
      <w:r w:rsidR="00885873">
        <w:t>.</w:t>
      </w:r>
    </w:p>
    <w:p w14:paraId="50940E06" w14:textId="51081F70" w:rsidR="00381941" w:rsidRPr="00381941" w:rsidRDefault="00381941" w:rsidP="00381941">
      <w:r w:rsidRPr="00381941">
        <w:t>The partner test is to be gene sequencing of all variants within the relevant gene(s)</w:t>
      </w:r>
      <w:r w:rsidRPr="00381941">
        <w:rPr>
          <w:i/>
          <w:iCs/>
        </w:rPr>
        <w:t xml:space="preserve"> </w:t>
      </w:r>
      <w:r w:rsidRPr="00381941">
        <w:t>in the base case, and in a sensitivity analysis only the panel variants within the relevant gene(s).</w:t>
      </w:r>
    </w:p>
    <w:p w14:paraId="60128D61" w14:textId="4D77FE42" w:rsidR="00504C8C" w:rsidRPr="005249F0" w:rsidRDefault="00504C8C" w:rsidP="00381941">
      <w:pPr>
        <w:rPr>
          <w:i/>
          <w:iCs/>
        </w:rPr>
      </w:pPr>
      <w:r w:rsidRPr="005249F0">
        <w:rPr>
          <w:i/>
          <w:iCs/>
        </w:rPr>
        <w:t>At the post-PASC meeting, the applicant agreed that a separate item for the cascade testing of FDRs is not needed as this population have &gt;10% personal risk and so are already captured under AAAA.</w:t>
      </w:r>
    </w:p>
    <w:p w14:paraId="25ECD684" w14:textId="66B8F16B" w:rsidR="00381941" w:rsidRPr="00885873" w:rsidRDefault="00381941" w:rsidP="00381941">
      <w:r w:rsidRPr="005249F0">
        <w:rPr>
          <w:i/>
          <w:iCs/>
        </w:rPr>
        <w:t xml:space="preserve">PASC </w:t>
      </w:r>
      <w:r w:rsidR="00504C8C" w:rsidRPr="005249F0">
        <w:rPr>
          <w:i/>
          <w:iCs/>
        </w:rPr>
        <w:t xml:space="preserve">also </w:t>
      </w:r>
      <w:r w:rsidRPr="005249F0">
        <w:rPr>
          <w:i/>
          <w:iCs/>
        </w:rPr>
        <w:t xml:space="preserve">supported </w:t>
      </w:r>
      <w:r w:rsidR="00504C8C" w:rsidRPr="005249F0">
        <w:rPr>
          <w:i/>
          <w:iCs/>
        </w:rPr>
        <w:t xml:space="preserve">a data re-analysis item, and </w:t>
      </w:r>
      <w:r w:rsidRPr="005249F0">
        <w:rPr>
          <w:i/>
          <w:iCs/>
        </w:rPr>
        <w:t xml:space="preserve">a </w:t>
      </w:r>
      <w:proofErr w:type="spellStart"/>
      <w:r w:rsidRPr="005249F0">
        <w:rPr>
          <w:i/>
          <w:iCs/>
        </w:rPr>
        <w:t>fetal</w:t>
      </w:r>
      <w:proofErr w:type="spellEnd"/>
      <w:r w:rsidRPr="005249F0">
        <w:rPr>
          <w:i/>
          <w:iCs/>
        </w:rPr>
        <w:t xml:space="preserve"> testing item, which is to be testing for the variant(s) known to be present in the parents</w:t>
      </w:r>
      <w:r w:rsidRPr="00381941">
        <w:t>.</w:t>
      </w:r>
    </w:p>
    <w:p w14:paraId="0A8FA135" w14:textId="570642B4" w:rsidR="007C3C21" w:rsidRPr="007D7F2A" w:rsidRDefault="007C3C21" w:rsidP="00457C7D">
      <w:pPr>
        <w:keepNext/>
        <w:rPr>
          <w:b/>
          <w:bCs/>
        </w:rPr>
      </w:pPr>
      <w:r w:rsidRPr="007D7F2A">
        <w:rPr>
          <w:b/>
          <w:bCs/>
        </w:rPr>
        <w:t xml:space="preserve">Timing of </w:t>
      </w:r>
      <w:r w:rsidR="005C2577">
        <w:rPr>
          <w:b/>
          <w:bCs/>
        </w:rPr>
        <w:t>testing</w:t>
      </w:r>
      <w:r w:rsidRPr="007D7F2A">
        <w:rPr>
          <w:b/>
          <w:bCs/>
        </w:rPr>
        <w:t xml:space="preserve">: Antenatal and preconception </w:t>
      </w:r>
    </w:p>
    <w:p w14:paraId="09AF6866" w14:textId="5C4A48DF" w:rsidR="007C3C21" w:rsidRDefault="007C3C21" w:rsidP="00457C7D">
      <w:pPr>
        <w:keepNext/>
      </w:pPr>
      <w:r w:rsidRPr="001C3C75">
        <w:t xml:space="preserve">Although genetic testing could, in principle, be performed </w:t>
      </w:r>
      <w:r w:rsidR="00281C7A">
        <w:t>at</w:t>
      </w:r>
      <w:r w:rsidR="00281C7A" w:rsidRPr="001C3C75">
        <w:t xml:space="preserve"> </w:t>
      </w:r>
      <w:r w:rsidRPr="001C3C75">
        <w:t xml:space="preserve">either </w:t>
      </w:r>
      <w:r w:rsidR="0075241A">
        <w:t xml:space="preserve">the </w:t>
      </w:r>
      <w:r w:rsidRPr="001C3C75">
        <w:t xml:space="preserve">preconception or antenatal </w:t>
      </w:r>
      <w:r w:rsidR="0075241A">
        <w:t>reproductive decision</w:t>
      </w:r>
      <w:r w:rsidR="0075241A" w:rsidRPr="001C3C75">
        <w:t xml:space="preserve"> </w:t>
      </w:r>
      <w:r w:rsidRPr="001C3C75">
        <w:t xml:space="preserve">points, there are important practical considerations as to why offering only </w:t>
      </w:r>
      <w:r w:rsidRPr="001C3C75">
        <w:lastRenderedPageBreak/>
        <w:t>one route rather than both would be suboptimal and might result in poorer healthcare outcomes</w:t>
      </w:r>
      <w:r>
        <w:t xml:space="preserve">. Access only via </w:t>
      </w:r>
      <w:r w:rsidRPr="007106C3">
        <w:t xml:space="preserve">antenatal </w:t>
      </w:r>
      <w:r>
        <w:t xml:space="preserve">genetic testing may raise ethical and/or religious issues </w:t>
      </w:r>
      <w:r w:rsidRPr="004E1DA8">
        <w:t>that m</w:t>
      </w:r>
      <w:r>
        <w:t>ay</w:t>
      </w:r>
      <w:r w:rsidRPr="004E1DA8">
        <w:t xml:space="preserve"> cause some not to access the service</w:t>
      </w:r>
      <w:r w:rsidR="003146E7">
        <w:t xml:space="preserve">. </w:t>
      </w:r>
      <w:r>
        <w:t>Preconception testing also provides a wider range of reproductive options to at risk individual and couples, as some of those options are necessarily ruled out if the couple is already pregnant. Finally, antenatal testing necessitates strict requirements on turn-around time (“TAT”) for test results, placing stress on the healthcare system and often resulting in higher testing costs</w:t>
      </w:r>
      <w:r w:rsidR="00BB4EF6">
        <w:t xml:space="preserve"> due to the need for a </w:t>
      </w:r>
      <w:proofErr w:type="spellStart"/>
      <w:r w:rsidR="00BB4EF6">
        <w:t>fetal</w:t>
      </w:r>
      <w:proofErr w:type="spellEnd"/>
      <w:r w:rsidR="00BB4EF6">
        <w:t xml:space="preserve"> genetic test to be performed</w:t>
      </w:r>
      <w:r>
        <w:t xml:space="preserve">, and occasionally in failure to complete testing within the time available for intervention. The ideal framework for access to testing would be a combination of opportunistic </w:t>
      </w:r>
      <w:r w:rsidRPr="001C3C75">
        <w:t>preconception</w:t>
      </w:r>
      <w:r>
        <w:t xml:space="preserve"> testing for these conditions in the p</w:t>
      </w:r>
      <w:r w:rsidRPr="0054599F">
        <w:t xml:space="preserve">rimary care </w:t>
      </w:r>
      <w:r>
        <w:t xml:space="preserve">setting, with supplementary antenatal testing for those who had not availed themselves of the preconception testing opportunity. This </w:t>
      </w:r>
      <w:r w:rsidRPr="00605357">
        <w:t xml:space="preserve">would ensure equitable access to this </w:t>
      </w:r>
      <w:r>
        <w:t>service</w:t>
      </w:r>
      <w:r w:rsidR="00AB7B49">
        <w:t>.</w:t>
      </w:r>
    </w:p>
    <w:p w14:paraId="10FBE50C" w14:textId="1EE2A6ED" w:rsidR="005249F0" w:rsidRPr="00AE50CC" w:rsidRDefault="005249F0" w:rsidP="00AE50CC">
      <w:pPr>
        <w:rPr>
          <w:i/>
          <w:iCs/>
        </w:rPr>
      </w:pPr>
      <w:r w:rsidRPr="00AE50CC">
        <w:rPr>
          <w:i/>
          <w:iCs/>
        </w:rPr>
        <w:t xml:space="preserve">PASC considered the merits of providing testing to individuals of reproductive age or limiting testing to individuals/couples planning </w:t>
      </w:r>
      <w:r w:rsidR="0020327D" w:rsidRPr="00AE50CC">
        <w:rPr>
          <w:i/>
          <w:iCs/>
        </w:rPr>
        <w:t>reproduction and</w:t>
      </w:r>
      <w:r w:rsidRPr="00AE50CC">
        <w:rPr>
          <w:i/>
          <w:iCs/>
        </w:rPr>
        <w:t xml:space="preserve"> suggested the applicant should revisit this issue out of session. At the post-PASC meeting, the applicant remained supportive of testing long in advance of reproductive decision-making, though acknowledged that the items are more likely to be utilised at the point of conception or in early pregnancy. The applicant requested the DCAR examine both options for the timing of testing.</w:t>
      </w:r>
    </w:p>
    <w:p w14:paraId="665B0675" w14:textId="1AE621E7" w:rsidR="007A66C8" w:rsidRPr="008F1532" w:rsidRDefault="007A66C8" w:rsidP="00713728">
      <w:pPr>
        <w:pStyle w:val="Heading3"/>
      </w:pPr>
      <w:r w:rsidRPr="008F1532">
        <w:t>Comparator</w:t>
      </w:r>
      <w:r w:rsidR="007D6B83">
        <w:t>(</w:t>
      </w:r>
      <w:r w:rsidR="008F1532">
        <w:t>s</w:t>
      </w:r>
      <w:r w:rsidR="007D6B83">
        <w:t>)</w:t>
      </w:r>
    </w:p>
    <w:p w14:paraId="360DB44E" w14:textId="121399AC" w:rsidR="00035AF3" w:rsidRPr="005249F0" w:rsidRDefault="00035AF3" w:rsidP="003358A6">
      <w:pPr>
        <w:rPr>
          <w:i/>
          <w:iCs/>
        </w:rPr>
      </w:pPr>
      <w:r w:rsidRPr="005249F0">
        <w:rPr>
          <w:i/>
          <w:iCs/>
        </w:rPr>
        <w:t>PASC advised that the base case comparator for the proposed carrier testing should be genetic carrier testing for SMA, CF, and FXS, as supported by MSAC for Application 1573 (</w:t>
      </w:r>
      <w:r w:rsidRPr="005249F0">
        <w:rPr>
          <w:i/>
          <w:iCs/>
        </w:rPr>
        <w:fldChar w:fldCharType="begin"/>
      </w:r>
      <w:r w:rsidRPr="005249F0">
        <w:rPr>
          <w:i/>
          <w:iCs/>
        </w:rPr>
        <w:instrText xml:space="preserve"> REF _Ref77229238 </w:instrText>
      </w:r>
      <w:r w:rsidR="003358A6" w:rsidRPr="005249F0">
        <w:rPr>
          <w:i/>
          <w:iCs/>
        </w:rPr>
        <w:instrText xml:space="preserve"> \* MERGEFORMAT </w:instrText>
      </w:r>
      <w:r w:rsidRPr="005249F0">
        <w:rPr>
          <w:i/>
          <w:iCs/>
        </w:rPr>
        <w:fldChar w:fldCharType="separate"/>
      </w:r>
      <w:r w:rsidRPr="005249F0">
        <w:rPr>
          <w:i/>
          <w:iCs/>
        </w:rPr>
        <w:t xml:space="preserve">Table </w:t>
      </w:r>
      <w:r w:rsidRPr="005249F0">
        <w:rPr>
          <w:i/>
          <w:iCs/>
          <w:noProof/>
        </w:rPr>
        <w:t>3</w:t>
      </w:r>
      <w:r w:rsidRPr="005249F0">
        <w:rPr>
          <w:i/>
          <w:iCs/>
          <w:noProof/>
        </w:rPr>
        <w:fldChar w:fldCharType="end"/>
      </w:r>
      <w:r w:rsidRPr="005249F0">
        <w:rPr>
          <w:i/>
          <w:iCs/>
        </w:rPr>
        <w:t xml:space="preserve">). PASC recognised that the 1573 testing </w:t>
      </w:r>
      <w:r w:rsidR="00020846" w:rsidRPr="005249F0">
        <w:rPr>
          <w:i/>
          <w:iCs/>
        </w:rPr>
        <w:t xml:space="preserve">has </w:t>
      </w:r>
      <w:r w:rsidRPr="005249F0">
        <w:rPr>
          <w:i/>
          <w:iCs/>
        </w:rPr>
        <w:t xml:space="preserve">not </w:t>
      </w:r>
      <w:r w:rsidR="00020846" w:rsidRPr="005249F0">
        <w:rPr>
          <w:i/>
          <w:iCs/>
        </w:rPr>
        <w:t xml:space="preserve">yet been </w:t>
      </w:r>
      <w:r w:rsidRPr="005249F0">
        <w:rPr>
          <w:i/>
          <w:iCs/>
        </w:rPr>
        <w:t xml:space="preserve">supported by Government, </w:t>
      </w:r>
      <w:r w:rsidR="0067664E" w:rsidRPr="005249F0">
        <w:rPr>
          <w:i/>
          <w:iCs/>
        </w:rPr>
        <w:t xml:space="preserve">so </w:t>
      </w:r>
      <w:r w:rsidRPr="005249F0">
        <w:rPr>
          <w:i/>
          <w:iCs/>
        </w:rPr>
        <w:t xml:space="preserve">an alternative comparator would be ‘No genetic testing’. </w:t>
      </w:r>
    </w:p>
    <w:p w14:paraId="7B16B8CF" w14:textId="74AB84D4" w:rsidR="001F1746" w:rsidRDefault="00020846" w:rsidP="003358A6">
      <w:r>
        <w:t xml:space="preserve">Carrier </w:t>
      </w:r>
      <w:r w:rsidR="00A8606D">
        <w:t xml:space="preserve">testing </w:t>
      </w:r>
      <w:r w:rsidR="00BC1BCD">
        <w:t xml:space="preserve">in the </w:t>
      </w:r>
      <w:r>
        <w:t xml:space="preserve">Ashkenazi Jewish </w:t>
      </w:r>
      <w:r w:rsidR="00BC1BCD">
        <w:t>population</w:t>
      </w:r>
      <w:r w:rsidR="00A8606D">
        <w:t xml:space="preserve"> is currently undertaken by individuals either on a user-pays basis, or in small-scale programs funded by private organisations, which are mostly limited to high school students.</w:t>
      </w:r>
    </w:p>
    <w:p w14:paraId="5449C82B" w14:textId="382019FB" w:rsidR="001F1746" w:rsidRDefault="001F1746" w:rsidP="001F1746">
      <w:pPr>
        <w:pStyle w:val="Caption"/>
      </w:pPr>
      <w:bookmarkStart w:id="20" w:name="_Ref77229238"/>
      <w:r>
        <w:lastRenderedPageBreak/>
        <w:t xml:space="preserve">Table </w:t>
      </w:r>
      <w:r>
        <w:fldChar w:fldCharType="begin"/>
      </w:r>
      <w:r>
        <w:instrText xml:space="preserve"> SEQ Table \* ARABIC </w:instrText>
      </w:r>
      <w:r>
        <w:fldChar w:fldCharType="separate"/>
      </w:r>
      <w:r>
        <w:rPr>
          <w:noProof/>
        </w:rPr>
        <w:t>3</w:t>
      </w:r>
      <w:r>
        <w:fldChar w:fldCharType="end"/>
      </w:r>
      <w:bookmarkEnd w:id="20"/>
      <w:r>
        <w:tab/>
      </w:r>
      <w:r w:rsidRPr="001F1746">
        <w:t>The comparator</w:t>
      </w:r>
      <w:r>
        <w:t>:</w:t>
      </w:r>
      <w:r w:rsidRPr="001F1746">
        <w:t xml:space="preserve"> MBS items supported by MSAC for Application </w:t>
      </w:r>
      <w:r>
        <w:t>1573</w:t>
      </w:r>
    </w:p>
    <w:tbl>
      <w:tblPr>
        <w:tblStyle w:val="TableGrid3"/>
        <w:tblW w:w="0" w:type="auto"/>
        <w:tblLook w:val="04A0" w:firstRow="1" w:lastRow="0" w:firstColumn="1" w:lastColumn="0" w:noHBand="0" w:noVBand="1"/>
      </w:tblPr>
      <w:tblGrid>
        <w:gridCol w:w="9016"/>
      </w:tblGrid>
      <w:tr w:rsidR="004B5352" w:rsidRPr="00F97309" w14:paraId="6815A6AC" w14:textId="77777777" w:rsidTr="00E1397A">
        <w:trPr>
          <w:cantSplit/>
          <w:tblHeader/>
        </w:trPr>
        <w:tc>
          <w:tcPr>
            <w:tcW w:w="9016" w:type="dxa"/>
          </w:tcPr>
          <w:p w14:paraId="04345E63" w14:textId="77777777" w:rsidR="004B5352" w:rsidRPr="00F97309" w:rsidRDefault="004B5352" w:rsidP="00474C71">
            <w:pPr>
              <w:pStyle w:val="Tabletext"/>
              <w:keepNext/>
            </w:pPr>
            <w:r w:rsidRPr="00F97309">
              <w:t>Category 6 (Pathology Services) – Group P7 Genetics</w:t>
            </w:r>
          </w:p>
        </w:tc>
      </w:tr>
      <w:tr w:rsidR="004B5352" w:rsidRPr="00F97309" w14:paraId="7F57C890" w14:textId="77777777" w:rsidTr="00E1397A">
        <w:trPr>
          <w:cantSplit/>
          <w:tblHeader/>
        </w:trPr>
        <w:tc>
          <w:tcPr>
            <w:tcW w:w="9016" w:type="dxa"/>
          </w:tcPr>
          <w:p w14:paraId="21A802DB" w14:textId="77777777" w:rsidR="004B5352" w:rsidRPr="00E1397A" w:rsidRDefault="004B5352" w:rsidP="00474C71">
            <w:pPr>
              <w:pStyle w:val="Tabletext"/>
              <w:keepNext/>
              <w:rPr>
                <w:u w:color="FF0000"/>
              </w:rPr>
            </w:pPr>
            <w:r w:rsidRPr="00E1397A">
              <w:rPr>
                <w:u w:color="FF0000"/>
              </w:rPr>
              <w:t>Item number: XXXXX</w:t>
            </w:r>
          </w:p>
          <w:p w14:paraId="45825464" w14:textId="20E91BBF" w:rsidR="004B5352" w:rsidRPr="00E1397A" w:rsidRDefault="004B5352" w:rsidP="00474C71">
            <w:pPr>
              <w:pStyle w:val="Tabletext"/>
              <w:keepNext/>
              <w:rPr>
                <w:u w:color="FF0000"/>
              </w:rPr>
            </w:pPr>
            <w:r w:rsidRPr="00E1397A">
              <w:rPr>
                <w:u w:color="FF0000"/>
              </w:rPr>
              <w:t xml:space="preserve">Testing of a </w:t>
            </w:r>
            <w:r>
              <w:rPr>
                <w:u w:color="FF0000"/>
              </w:rPr>
              <w:t>patient who is</w:t>
            </w:r>
            <w:r w:rsidRPr="00E1397A">
              <w:rPr>
                <w:u w:color="FF0000"/>
              </w:rPr>
              <w:t xml:space="preserve"> planning pregnancy to identify carrier (heterozygous) status for pathogenic variants in the cystic fibrosis transmembrane conductance regulator (</w:t>
            </w:r>
            <w:r w:rsidRPr="00E1397A">
              <w:rPr>
                <w:i/>
              </w:rPr>
              <w:t>CFTR</w:t>
            </w:r>
            <w:r w:rsidRPr="00E1397A">
              <w:rPr>
                <w:u w:color="FF0000"/>
              </w:rPr>
              <w:t>), survival motor neuron 1 (</w:t>
            </w:r>
            <w:r w:rsidRPr="00E1397A">
              <w:rPr>
                <w:i/>
              </w:rPr>
              <w:t>SMN1</w:t>
            </w:r>
            <w:r w:rsidRPr="00E1397A">
              <w:rPr>
                <w:u w:color="FF0000"/>
              </w:rPr>
              <w:t>) and fragile X mental retardation 1 (</w:t>
            </w:r>
            <w:r w:rsidRPr="00E1397A">
              <w:rPr>
                <w:i/>
              </w:rPr>
              <w:t>FMR1</w:t>
            </w:r>
            <w:r w:rsidRPr="00E1397A">
              <w:rPr>
                <w:u w:color="FF0000"/>
              </w:rPr>
              <w:t>) genes, for the purpose of determining reproductive risk of these conditions.</w:t>
            </w:r>
          </w:p>
          <w:p w14:paraId="33EC4916" w14:textId="77777777" w:rsidR="004B5352" w:rsidRPr="00E1397A" w:rsidRDefault="004B5352" w:rsidP="00474C71">
            <w:pPr>
              <w:pStyle w:val="Tabletext"/>
              <w:keepNext/>
              <w:rPr>
                <w:u w:color="FF0000"/>
              </w:rPr>
            </w:pPr>
            <w:r w:rsidRPr="00E1397A">
              <w:rPr>
                <w:u w:color="FF0000"/>
              </w:rPr>
              <w:t>One test per lifetime.</w:t>
            </w:r>
          </w:p>
          <w:p w14:paraId="0ABC92C8" w14:textId="77777777" w:rsidR="004B5352" w:rsidRPr="00540118" w:rsidRDefault="004B5352" w:rsidP="00474C71">
            <w:pPr>
              <w:pStyle w:val="Tabletext"/>
              <w:keepNext/>
              <w:rPr>
                <w:u w:val="dotted" w:color="FF0000"/>
              </w:rPr>
            </w:pPr>
            <w:r w:rsidRPr="00540118">
              <w:rPr>
                <w:u w:val="dotted" w:color="FF0000"/>
              </w:rPr>
              <w:t>Fee: $400</w:t>
            </w:r>
          </w:p>
        </w:tc>
      </w:tr>
      <w:tr w:rsidR="004B5352" w:rsidRPr="00F97309" w14:paraId="183168AD" w14:textId="77777777" w:rsidTr="00E1397A">
        <w:trPr>
          <w:cantSplit/>
          <w:tblHeader/>
        </w:trPr>
        <w:tc>
          <w:tcPr>
            <w:tcW w:w="9016" w:type="dxa"/>
          </w:tcPr>
          <w:p w14:paraId="65B62835" w14:textId="77777777" w:rsidR="004B5352" w:rsidRPr="00F97309" w:rsidRDefault="004B5352" w:rsidP="00474C71">
            <w:pPr>
              <w:pStyle w:val="Tabletext"/>
              <w:keepNext/>
            </w:pPr>
            <w:r w:rsidRPr="00F97309">
              <w:t>Category 6 (Pathology Services) – Group P7 Genetics</w:t>
            </w:r>
          </w:p>
        </w:tc>
      </w:tr>
      <w:tr w:rsidR="004B5352" w:rsidRPr="00F97309" w14:paraId="0166C748" w14:textId="77777777" w:rsidTr="00E1397A">
        <w:trPr>
          <w:cantSplit/>
          <w:tblHeader/>
        </w:trPr>
        <w:tc>
          <w:tcPr>
            <w:tcW w:w="9016" w:type="dxa"/>
          </w:tcPr>
          <w:p w14:paraId="3A896C25" w14:textId="77777777" w:rsidR="004B5352" w:rsidRPr="00E1397A" w:rsidRDefault="004B5352" w:rsidP="00474C71">
            <w:pPr>
              <w:pStyle w:val="Tabletext"/>
              <w:keepNext/>
              <w:rPr>
                <w:u w:color="FF0000"/>
              </w:rPr>
            </w:pPr>
            <w:r w:rsidRPr="00E1397A">
              <w:rPr>
                <w:u w:color="FF0000"/>
              </w:rPr>
              <w:t>Item number: YYYYY</w:t>
            </w:r>
          </w:p>
          <w:p w14:paraId="4506A33B" w14:textId="6AEA013A" w:rsidR="004B5352" w:rsidRPr="00E1397A" w:rsidRDefault="004B5352" w:rsidP="00474C71">
            <w:pPr>
              <w:pStyle w:val="Tabletext"/>
              <w:keepNext/>
              <w:rPr>
                <w:u w:color="FF0000"/>
              </w:rPr>
            </w:pPr>
            <w:r w:rsidRPr="00E1397A">
              <w:rPr>
                <w:u w:color="FF0000"/>
              </w:rPr>
              <w:t xml:space="preserve">Testing of a pregnant </w:t>
            </w:r>
            <w:r>
              <w:rPr>
                <w:u w:color="FF0000"/>
              </w:rPr>
              <w:t>patient</w:t>
            </w:r>
            <w:r w:rsidRPr="00E1397A">
              <w:rPr>
                <w:u w:color="FF0000"/>
              </w:rPr>
              <w:t xml:space="preserve"> to identify carrier (heterozygous) status for pathogenic variants in the cystic fibrosis transmembrane conductance regulator (</w:t>
            </w:r>
            <w:r w:rsidRPr="00E1397A">
              <w:rPr>
                <w:i/>
              </w:rPr>
              <w:t>CFTR</w:t>
            </w:r>
            <w:r w:rsidRPr="00E1397A">
              <w:rPr>
                <w:u w:color="FF0000"/>
              </w:rPr>
              <w:t>), survival motor neuron 1 (</w:t>
            </w:r>
            <w:r w:rsidRPr="00E1397A">
              <w:rPr>
                <w:i/>
              </w:rPr>
              <w:t>SMN1</w:t>
            </w:r>
            <w:r w:rsidRPr="00E1397A">
              <w:rPr>
                <w:u w:color="FF0000"/>
              </w:rPr>
              <w:t>) and fragile X mental retardation 1 (</w:t>
            </w:r>
            <w:r w:rsidRPr="00E1397A">
              <w:rPr>
                <w:i/>
              </w:rPr>
              <w:t>FMR1</w:t>
            </w:r>
            <w:r w:rsidRPr="00E1397A">
              <w:rPr>
                <w:u w:color="FF0000"/>
              </w:rPr>
              <w:t>) genes, for the purpose of determining reproductive risk of these conditions.</w:t>
            </w:r>
          </w:p>
          <w:p w14:paraId="2AB0D578" w14:textId="77777777" w:rsidR="004B5352" w:rsidRPr="00E1397A" w:rsidRDefault="004B5352" w:rsidP="00474C71">
            <w:pPr>
              <w:pStyle w:val="Tabletext"/>
              <w:keepNext/>
              <w:rPr>
                <w:u w:color="FF0000"/>
              </w:rPr>
            </w:pPr>
            <w:r w:rsidRPr="00E1397A">
              <w:rPr>
                <w:u w:color="FF0000"/>
              </w:rPr>
              <w:t>One test per lifetime.</w:t>
            </w:r>
          </w:p>
          <w:p w14:paraId="5CFA1790" w14:textId="77777777" w:rsidR="004B5352" w:rsidRPr="00540118" w:rsidRDefault="004B5352" w:rsidP="00474C71">
            <w:pPr>
              <w:pStyle w:val="Tabletext"/>
              <w:keepNext/>
              <w:rPr>
                <w:u w:val="dotted" w:color="FF0000"/>
              </w:rPr>
            </w:pPr>
            <w:r w:rsidRPr="00540118">
              <w:rPr>
                <w:u w:val="dotted" w:color="FF0000"/>
              </w:rPr>
              <w:t>Fee: $400</w:t>
            </w:r>
          </w:p>
        </w:tc>
      </w:tr>
      <w:tr w:rsidR="004B5352" w:rsidRPr="00F97309" w14:paraId="6442F03A" w14:textId="77777777" w:rsidTr="00E1397A">
        <w:trPr>
          <w:cantSplit/>
          <w:tblHeader/>
        </w:trPr>
        <w:tc>
          <w:tcPr>
            <w:tcW w:w="9016" w:type="dxa"/>
          </w:tcPr>
          <w:p w14:paraId="5EF7D212" w14:textId="77777777" w:rsidR="004B5352" w:rsidRPr="00F97309" w:rsidRDefault="004B5352" w:rsidP="00474C71">
            <w:pPr>
              <w:pStyle w:val="Tabletext"/>
              <w:keepNext/>
            </w:pPr>
            <w:r w:rsidRPr="00F97309">
              <w:t>Category 6 (Pathology Services) – Group P7 Genetics</w:t>
            </w:r>
          </w:p>
        </w:tc>
      </w:tr>
      <w:tr w:rsidR="004B5352" w:rsidRPr="00F97309" w14:paraId="11D0F4E1" w14:textId="77777777" w:rsidTr="00E1397A">
        <w:trPr>
          <w:cantSplit/>
          <w:tblHeader/>
        </w:trPr>
        <w:tc>
          <w:tcPr>
            <w:tcW w:w="9016" w:type="dxa"/>
          </w:tcPr>
          <w:p w14:paraId="7706D7C1" w14:textId="77777777" w:rsidR="004B5352" w:rsidRPr="00E1397A" w:rsidRDefault="004B5352" w:rsidP="00474C71">
            <w:pPr>
              <w:pStyle w:val="Tabletext"/>
              <w:keepNext/>
              <w:rPr>
                <w:u w:color="FF0000"/>
              </w:rPr>
            </w:pPr>
            <w:r w:rsidRPr="00E1397A">
              <w:rPr>
                <w:u w:color="FF0000"/>
              </w:rPr>
              <w:t>Item number: ZZZZZ</w:t>
            </w:r>
          </w:p>
          <w:p w14:paraId="5C8FFC86" w14:textId="6EE26122" w:rsidR="004B5352" w:rsidRPr="00E1397A" w:rsidRDefault="004B5352" w:rsidP="00474C71">
            <w:pPr>
              <w:pStyle w:val="Tabletext"/>
              <w:keepNext/>
              <w:rPr>
                <w:u w:color="FF0000"/>
              </w:rPr>
            </w:pPr>
            <w:r w:rsidRPr="00E1397A">
              <w:rPr>
                <w:u w:color="FF0000"/>
              </w:rPr>
              <w:t xml:space="preserve">Testing of the reproductive partner of a </w:t>
            </w:r>
            <w:r>
              <w:rPr>
                <w:u w:color="FF0000"/>
              </w:rPr>
              <w:t>patient</w:t>
            </w:r>
            <w:r w:rsidRPr="00E1397A">
              <w:rPr>
                <w:u w:color="FF0000"/>
              </w:rPr>
              <w:t xml:space="preserve"> who has been found to be a carrier of an autosomal recessive </w:t>
            </w:r>
            <w:r w:rsidRPr="00F97309">
              <w:t xml:space="preserve">pathogenic variant </w:t>
            </w:r>
            <w:r w:rsidRPr="00E1397A">
              <w:rPr>
                <w:u w:color="FF0000"/>
              </w:rPr>
              <w:t>identified by item XXXXX or YYYYY, for the purpose of determining the couple’s reproductive risk of this condition.</w:t>
            </w:r>
          </w:p>
          <w:p w14:paraId="1AD792CC" w14:textId="77777777" w:rsidR="004B5352" w:rsidRPr="00E1397A" w:rsidRDefault="004B5352" w:rsidP="00474C71">
            <w:pPr>
              <w:pStyle w:val="Tabletext"/>
              <w:keepNext/>
              <w:rPr>
                <w:i/>
                <w:u w:color="FF0000"/>
              </w:rPr>
            </w:pPr>
            <w:r w:rsidRPr="00E1397A">
              <w:rPr>
                <w:u w:color="FF0000"/>
              </w:rPr>
              <w:t>One test per condition per lifetime.</w:t>
            </w:r>
          </w:p>
          <w:p w14:paraId="5B276816" w14:textId="77777777" w:rsidR="004B5352" w:rsidRPr="00F97309" w:rsidRDefault="004B5352" w:rsidP="00474C71">
            <w:pPr>
              <w:pStyle w:val="Tabletext"/>
              <w:keepNext/>
              <w:rPr>
                <w:u w:val="dotted" w:color="FF0000"/>
              </w:rPr>
            </w:pPr>
            <w:r w:rsidRPr="00F97309">
              <w:rPr>
                <w:u w:val="dotted" w:color="FF0000"/>
              </w:rPr>
              <w:t>Fee: $400</w:t>
            </w:r>
          </w:p>
        </w:tc>
      </w:tr>
    </w:tbl>
    <w:p w14:paraId="184F09E6" w14:textId="77777777" w:rsidR="004B5352" w:rsidRPr="00037354" w:rsidRDefault="004B5352" w:rsidP="004B5352">
      <w:pPr>
        <w:spacing w:after="120"/>
        <w:rPr>
          <w:rFonts w:ascii="Arial Narrow" w:hAnsi="Arial Narrow"/>
          <w:iCs/>
          <w:sz w:val="20"/>
          <w:u w:color="FF0000"/>
        </w:rPr>
      </w:pPr>
      <w:r w:rsidRPr="00037354">
        <w:rPr>
          <w:rFonts w:ascii="Arial Narrow" w:hAnsi="Arial Narrow"/>
          <w:iCs/>
          <w:sz w:val="20"/>
          <w:u w:val="single"/>
        </w:rPr>
        <w:t xml:space="preserve">Practice </w:t>
      </w:r>
      <w:proofErr w:type="gramStart"/>
      <w:r w:rsidRPr="00037354">
        <w:rPr>
          <w:rFonts w:ascii="Arial Narrow" w:hAnsi="Arial Narrow"/>
          <w:iCs/>
          <w:sz w:val="20"/>
          <w:u w:val="single"/>
        </w:rPr>
        <w:t>note</w:t>
      </w:r>
      <w:proofErr w:type="gramEnd"/>
      <w:r w:rsidRPr="00037354">
        <w:rPr>
          <w:rFonts w:ascii="Arial Narrow" w:hAnsi="Arial Narrow"/>
          <w:iCs/>
          <w:sz w:val="20"/>
          <w:u w:color="FF0000"/>
        </w:rPr>
        <w:t>:</w:t>
      </w:r>
    </w:p>
    <w:p w14:paraId="2B3B6BD6" w14:textId="77777777" w:rsidR="004B5352" w:rsidRPr="00037354" w:rsidRDefault="004B5352" w:rsidP="004B5352">
      <w:pPr>
        <w:spacing w:before="120" w:after="120"/>
        <w:rPr>
          <w:rFonts w:ascii="Arial Narrow" w:hAnsi="Arial Narrow"/>
          <w:iCs/>
          <w:sz w:val="20"/>
          <w:u w:color="FF0000"/>
        </w:rPr>
      </w:pPr>
      <w:r w:rsidRPr="00037354">
        <w:rPr>
          <w:rFonts w:ascii="Arial Narrow" w:hAnsi="Arial Narrow"/>
          <w:iCs/>
          <w:sz w:val="20"/>
          <w:u w:color="FF0000"/>
        </w:rPr>
        <w:t>The laboratory used to undertake tests for items XXXXX and YYYYY must use a methodology appropriate to the clinical setting with:</w:t>
      </w:r>
    </w:p>
    <w:p w14:paraId="21A4BBD3" w14:textId="77777777" w:rsidR="004B5352" w:rsidRPr="00037354" w:rsidRDefault="004B5352" w:rsidP="004B5352">
      <w:pPr>
        <w:spacing w:before="120"/>
        <w:ind w:left="567" w:hanging="283"/>
        <w:rPr>
          <w:rFonts w:ascii="Arial Narrow" w:hAnsi="Arial Narrow"/>
          <w:iCs/>
          <w:sz w:val="20"/>
          <w:u w:color="FF0000"/>
        </w:rPr>
      </w:pPr>
      <w:r w:rsidRPr="00037354">
        <w:rPr>
          <w:rFonts w:ascii="Arial Narrow" w:hAnsi="Arial Narrow"/>
          <w:iCs/>
          <w:sz w:val="20"/>
          <w:u w:color="FF0000"/>
        </w:rPr>
        <w:t>(a) sufficient diagnostic range and sensitivity to detect at least 95% of pathogenic variants likely to be present in the patient; and</w:t>
      </w:r>
    </w:p>
    <w:p w14:paraId="47C64147" w14:textId="54DD96C5" w:rsidR="004B5352" w:rsidRPr="00037354" w:rsidRDefault="004B5352" w:rsidP="004B5352">
      <w:pPr>
        <w:spacing w:before="120"/>
        <w:ind w:left="568" w:hanging="284"/>
        <w:rPr>
          <w:rFonts w:ascii="Arial Narrow" w:hAnsi="Arial Narrow"/>
          <w:iCs/>
          <w:sz w:val="20"/>
          <w:u w:color="FF0000"/>
        </w:rPr>
      </w:pPr>
      <w:r w:rsidRPr="00037354">
        <w:rPr>
          <w:rFonts w:ascii="Arial Narrow" w:hAnsi="Arial Narrow"/>
          <w:iCs/>
          <w:sz w:val="20"/>
          <w:u w:color="FF0000"/>
        </w:rPr>
        <w:t xml:space="preserve">(b) at least 50 of the most frequently encountered </w:t>
      </w:r>
      <w:r w:rsidRPr="004B5352">
        <w:rPr>
          <w:rFonts w:ascii="Arial Narrow" w:hAnsi="Arial Narrow"/>
          <w:i/>
          <w:sz w:val="20"/>
          <w:u w:color="FF0000"/>
        </w:rPr>
        <w:t>CFTR</w:t>
      </w:r>
      <w:r>
        <w:rPr>
          <w:rFonts w:ascii="Arial Narrow" w:hAnsi="Arial Narrow"/>
          <w:iCs/>
          <w:sz w:val="20"/>
          <w:u w:color="FF0000"/>
        </w:rPr>
        <w:t xml:space="preserve"> </w:t>
      </w:r>
      <w:r w:rsidRPr="004B5352">
        <w:rPr>
          <w:rFonts w:ascii="Arial Narrow" w:hAnsi="Arial Narrow"/>
          <w:iCs/>
          <w:sz w:val="20"/>
          <w:u w:color="FF0000"/>
        </w:rPr>
        <w:t>variants</w:t>
      </w:r>
      <w:r w:rsidRPr="00037354">
        <w:rPr>
          <w:rFonts w:ascii="Arial Narrow" w:hAnsi="Arial Narrow"/>
          <w:iCs/>
          <w:sz w:val="20"/>
          <w:u w:color="FF0000"/>
        </w:rPr>
        <w:t xml:space="preserve"> in the Australian population.</w:t>
      </w:r>
    </w:p>
    <w:p w14:paraId="5E0133AA" w14:textId="77777777" w:rsidR="004B5352" w:rsidRDefault="004B5352" w:rsidP="004B5352">
      <w:pPr>
        <w:pStyle w:val="Tablenotes"/>
        <w:jc w:val="left"/>
        <w:rPr>
          <w:iCs/>
          <w:sz w:val="20"/>
          <w:u w:color="FF0000"/>
        </w:rPr>
      </w:pPr>
      <w:r w:rsidRPr="00037354">
        <w:rPr>
          <w:iCs/>
          <w:sz w:val="20"/>
          <w:u w:color="FF0000"/>
        </w:rPr>
        <w:t>Not to be claimed in conjunction with items 73300, 73305, 73345, 73346, 73347, 73348, 73349 and 73350.</w:t>
      </w:r>
    </w:p>
    <w:p w14:paraId="02F35223" w14:textId="4425344C" w:rsidR="00A8606D" w:rsidRDefault="001F1746" w:rsidP="00E1397A">
      <w:pPr>
        <w:pStyle w:val="Tablenotes"/>
        <w:jc w:val="left"/>
      </w:pPr>
      <w:r>
        <w:t xml:space="preserve">Source: Public Summary Document for MSAC Application 1573, </w:t>
      </w:r>
      <w:r w:rsidR="004B5352">
        <w:t>page 2, MSAC-suppo</w:t>
      </w:r>
      <w:r w:rsidR="00474C71">
        <w:t>r</w:t>
      </w:r>
      <w:r w:rsidR="004B5352">
        <w:t>ted MBS item descriptors</w:t>
      </w:r>
      <w:r>
        <w:t>.</w:t>
      </w:r>
      <w:r w:rsidR="00A8606D">
        <w:t xml:space="preserve"> </w:t>
      </w:r>
    </w:p>
    <w:p w14:paraId="170CEC86" w14:textId="77777777" w:rsidR="00AE50CC" w:rsidRDefault="00AE50CC">
      <w:pPr>
        <w:spacing w:after="160" w:line="259" w:lineRule="auto"/>
        <w:rPr>
          <w:rFonts w:eastAsia="MS Gothic"/>
          <w:b/>
          <w:bCs/>
          <w:i/>
          <w:sz w:val="24"/>
          <w:szCs w:val="24"/>
        </w:rPr>
      </w:pPr>
      <w:r>
        <w:br w:type="page"/>
      </w:r>
    </w:p>
    <w:p w14:paraId="15863BAA" w14:textId="358DAC04" w:rsidR="00677AE3" w:rsidRPr="008F1532" w:rsidRDefault="00677AE3" w:rsidP="00713728">
      <w:pPr>
        <w:pStyle w:val="Heading3"/>
      </w:pPr>
      <w:r w:rsidRPr="008F1532">
        <w:lastRenderedPageBreak/>
        <w:t>Reference standard (for investigative technologies only)</w:t>
      </w:r>
    </w:p>
    <w:p w14:paraId="73468529" w14:textId="7F7C7965" w:rsidR="00B02BB0" w:rsidRDefault="00681BA1" w:rsidP="003358A6">
      <w:r>
        <w:t xml:space="preserve">A reference standard to assess diagnostic accuracy of the intervention would not be required for this assessment. As per the pre-PASC meeting, it was noted that </w:t>
      </w:r>
      <w:r w:rsidRPr="00681BA1">
        <w:t xml:space="preserve">the </w:t>
      </w:r>
      <w:r w:rsidR="00682409">
        <w:t>analytical</w:t>
      </w:r>
      <w:r w:rsidR="003146E7">
        <w:t xml:space="preserve"> </w:t>
      </w:r>
      <w:r w:rsidR="00682409">
        <w:t>validity</w:t>
      </w:r>
      <w:r w:rsidRPr="00681BA1">
        <w:t xml:space="preserve"> of genetic tests</w:t>
      </w:r>
      <w:r w:rsidR="00885873">
        <w:t xml:space="preserve"> that use </w:t>
      </w:r>
      <w:r w:rsidR="00DB2F42">
        <w:t xml:space="preserve">next generation </w:t>
      </w:r>
      <w:r w:rsidR="00133D42">
        <w:t>DNA</w:t>
      </w:r>
      <w:r w:rsidR="00DB2F42">
        <w:t xml:space="preserve"> sequencing (</w:t>
      </w:r>
      <w:r w:rsidR="00885873">
        <w:t>NGS</w:t>
      </w:r>
      <w:r w:rsidR="00DB2F42">
        <w:t>)</w:t>
      </w:r>
      <w:r w:rsidR="00885873">
        <w:t xml:space="preserve"> methodologies</w:t>
      </w:r>
      <w:r w:rsidRPr="00681BA1">
        <w:t xml:space="preserve"> </w:t>
      </w:r>
      <w:r w:rsidR="003146E7" w:rsidRPr="00681BA1">
        <w:t>ha</w:t>
      </w:r>
      <w:r w:rsidR="003146E7">
        <w:t>s</w:t>
      </w:r>
      <w:r w:rsidRPr="00681BA1">
        <w:t xml:space="preserve"> been </w:t>
      </w:r>
      <w:r w:rsidR="00281C7A">
        <w:t xml:space="preserve">accepted </w:t>
      </w:r>
      <w:r w:rsidRPr="00681BA1">
        <w:t>by MSAC</w:t>
      </w:r>
      <w:r>
        <w:t xml:space="preserve">. </w:t>
      </w:r>
    </w:p>
    <w:p w14:paraId="0354D7D2" w14:textId="4E123042" w:rsidR="00681BA1" w:rsidRDefault="00B02BB0" w:rsidP="003358A6">
      <w:r>
        <w:t xml:space="preserve">Where other genetic testing is used, the choice of reference standard will be dependent on the diagnostic testing technology </w:t>
      </w:r>
      <w:r w:rsidR="00D603BC">
        <w:t>used by the laboratory</w:t>
      </w:r>
      <w:r>
        <w:t>.</w:t>
      </w:r>
    </w:p>
    <w:p w14:paraId="29C1EA87" w14:textId="77777777" w:rsidR="007A66C8" w:rsidRPr="008F1532" w:rsidRDefault="007A66C8" w:rsidP="00713728">
      <w:pPr>
        <w:pStyle w:val="Heading3"/>
      </w:pPr>
      <w:r w:rsidRPr="008F1532">
        <w:t xml:space="preserve">Outcomes </w:t>
      </w:r>
    </w:p>
    <w:p w14:paraId="60FBDE12" w14:textId="77777777" w:rsidR="00C85006" w:rsidRPr="00E1397A" w:rsidRDefault="00C85006" w:rsidP="00C85006">
      <w:r w:rsidRPr="00E1397A">
        <w:t xml:space="preserve">Outcomes need to be assessed that are: </w:t>
      </w:r>
    </w:p>
    <w:p w14:paraId="39833CB8" w14:textId="77777777" w:rsidR="00C85006" w:rsidRPr="00E1397A" w:rsidRDefault="00C85006" w:rsidP="00556800">
      <w:pPr>
        <w:pStyle w:val="ListParagraph"/>
        <w:numPr>
          <w:ilvl w:val="0"/>
          <w:numId w:val="11"/>
        </w:numPr>
      </w:pPr>
      <w:r w:rsidRPr="00E1397A">
        <w:t>directly relevant to the individual identified as a carrier</w:t>
      </w:r>
    </w:p>
    <w:p w14:paraId="7ABD330F" w14:textId="223D8389" w:rsidR="00C85006" w:rsidRPr="00E1397A" w:rsidRDefault="00C85006" w:rsidP="00556800">
      <w:pPr>
        <w:pStyle w:val="ListParagraph"/>
        <w:numPr>
          <w:ilvl w:val="0"/>
          <w:numId w:val="11"/>
        </w:numPr>
      </w:pPr>
      <w:r w:rsidRPr="00E1397A">
        <w:t xml:space="preserve">directly relevant to the couple both identified pre-pregnancy as carriers for the same </w:t>
      </w:r>
      <w:r w:rsidR="009719D1">
        <w:rPr>
          <w:i/>
          <w:u w:val="single"/>
        </w:rPr>
        <w:t xml:space="preserve">autosomal recessive </w:t>
      </w:r>
      <w:r w:rsidRPr="00E1397A">
        <w:t>condition</w:t>
      </w:r>
      <w:r w:rsidR="009719D1">
        <w:rPr>
          <w:i/>
          <w:u w:val="single"/>
        </w:rPr>
        <w:t>, or one is identified pre-pregnancy as a carrier for an X-linked condition</w:t>
      </w:r>
    </w:p>
    <w:p w14:paraId="475CCCF2" w14:textId="3156C21C" w:rsidR="00C85006" w:rsidRPr="00E1397A" w:rsidRDefault="00C85006" w:rsidP="00556800">
      <w:pPr>
        <w:pStyle w:val="ListParagraph"/>
        <w:numPr>
          <w:ilvl w:val="0"/>
          <w:numId w:val="11"/>
        </w:numPr>
      </w:pPr>
      <w:r w:rsidRPr="00E1397A">
        <w:t xml:space="preserve">Outcomes from first trimester </w:t>
      </w:r>
      <w:proofErr w:type="spellStart"/>
      <w:r w:rsidRPr="00E1397A">
        <w:t>fetal</w:t>
      </w:r>
      <w:proofErr w:type="spellEnd"/>
      <w:r w:rsidRPr="00E1397A">
        <w:t xml:space="preserve"> testing in a couple who are both carriers for the same autosomal recessive condition</w:t>
      </w:r>
      <w:r w:rsidR="009719D1">
        <w:rPr>
          <w:i/>
          <w:u w:val="single"/>
        </w:rPr>
        <w:t>, or one is identified as a carrier for an X-linked condition</w:t>
      </w:r>
    </w:p>
    <w:p w14:paraId="2504DA35" w14:textId="77777777" w:rsidR="00A8606D" w:rsidRDefault="00A8606D" w:rsidP="00A8606D">
      <w:r>
        <w:t>The following outcomes have been proposed for evaluating the clinical effectiveness and safety of targeted carrier testing for severe monogenic conditions:</w:t>
      </w:r>
    </w:p>
    <w:p w14:paraId="524AE15B" w14:textId="77777777" w:rsidR="00A8606D" w:rsidRDefault="00A8606D" w:rsidP="00A8606D">
      <w:pPr>
        <w:rPr>
          <w:i/>
          <w:u w:val="single"/>
        </w:rPr>
      </w:pPr>
      <w:r>
        <w:rPr>
          <w:i/>
          <w:u w:val="single"/>
        </w:rPr>
        <w:t>Outcomes that relate to the direct safety of the health technology or comparator:</w:t>
      </w:r>
    </w:p>
    <w:p w14:paraId="1DB45087" w14:textId="77777777" w:rsidR="00A8606D" w:rsidRPr="009E7DB8" w:rsidRDefault="00A8606D" w:rsidP="00556800">
      <w:pPr>
        <w:pStyle w:val="ListParagraph"/>
        <w:numPr>
          <w:ilvl w:val="0"/>
          <w:numId w:val="6"/>
        </w:numPr>
      </w:pPr>
      <w:r w:rsidRPr="009E7DB8">
        <w:t>Physical and/or psychological harms from genetic testing or no genetic testing, adverse events from testing</w:t>
      </w:r>
    </w:p>
    <w:p w14:paraId="2982172C" w14:textId="77777777" w:rsidR="00A8606D" w:rsidRPr="00D02768" w:rsidRDefault="00A8606D" w:rsidP="00A8606D">
      <w:pPr>
        <w:rPr>
          <w:i/>
          <w:u w:val="single"/>
        </w:rPr>
      </w:pPr>
      <w:r w:rsidRPr="00D02768">
        <w:rPr>
          <w:i/>
          <w:u w:val="single"/>
        </w:rPr>
        <w:t xml:space="preserve">Test accuracy outcomes: </w:t>
      </w:r>
    </w:p>
    <w:p w14:paraId="1DCFDAB6" w14:textId="32B1FC74" w:rsidR="00791881" w:rsidRPr="00DB11DC" w:rsidRDefault="00791881" w:rsidP="00556800">
      <w:pPr>
        <w:pStyle w:val="ListParagraph"/>
        <w:numPr>
          <w:ilvl w:val="0"/>
          <w:numId w:val="4"/>
        </w:numPr>
      </w:pPr>
      <w:r w:rsidRPr="00DB11DC">
        <w:t>Assessment of diagnostic/test accuracy: sensitivity, specificity, number of false positives, number of false negatives, number of inconclusive results</w:t>
      </w:r>
      <w:r>
        <w:t xml:space="preserve"> (noting that the diagnostic accuracy of </w:t>
      </w:r>
      <w:r w:rsidR="00E15C6E">
        <w:t xml:space="preserve">next generation DNA sequencing </w:t>
      </w:r>
      <w:r>
        <w:t>tests have been established by MSAC, and therefore only if available)</w:t>
      </w:r>
      <w:r w:rsidR="00E15C6E">
        <w:t>. Any other technologies that are used for detecting the genes in the population, will be provided by the applicant</w:t>
      </w:r>
      <w:r w:rsidR="00152080">
        <w:t xml:space="preserve">. The analytical validity will be assessed for all these </w:t>
      </w:r>
      <w:r w:rsidR="0020327D">
        <w:t>technologies if</w:t>
      </w:r>
      <w:r w:rsidR="00E15C6E">
        <w:t xml:space="preserve"> the</w:t>
      </w:r>
      <w:r w:rsidR="00152080">
        <w:t>ir diagnostic</w:t>
      </w:r>
      <w:r w:rsidR="00E15C6E">
        <w:t xml:space="preserve"> accuracy has not already been established.</w:t>
      </w:r>
    </w:p>
    <w:p w14:paraId="1C86AA55" w14:textId="77777777" w:rsidR="00A8606D" w:rsidRDefault="00A8606D" w:rsidP="00556800">
      <w:pPr>
        <w:pStyle w:val="ListParagraph"/>
        <w:numPr>
          <w:ilvl w:val="0"/>
          <w:numId w:val="6"/>
        </w:numPr>
      </w:pPr>
      <w:r w:rsidRPr="009E7DB8">
        <w:t xml:space="preserve">Clinical utility: </w:t>
      </w:r>
    </w:p>
    <w:p w14:paraId="14B1E2D0" w14:textId="152944C2" w:rsidR="00BE0A44" w:rsidRDefault="00BE0A44" w:rsidP="00556800">
      <w:pPr>
        <w:pStyle w:val="ListParagraph"/>
        <w:numPr>
          <w:ilvl w:val="1"/>
          <w:numId w:val="6"/>
        </w:numPr>
      </w:pPr>
      <w:r>
        <w:t xml:space="preserve">Diagnostic yield of </w:t>
      </w:r>
      <w:r w:rsidR="00EF2FFF">
        <w:t>carrier testing in the Ashkenazi Jewish population:</w:t>
      </w:r>
    </w:p>
    <w:p w14:paraId="4CA21189" w14:textId="66766973" w:rsidR="00EF2FFF" w:rsidRDefault="00EF2FFF" w:rsidP="00556800">
      <w:pPr>
        <w:pStyle w:val="ListParagraph"/>
        <w:numPr>
          <w:ilvl w:val="2"/>
          <w:numId w:val="6"/>
        </w:numPr>
      </w:pPr>
      <w:r>
        <w:t>Proportion of tested individuals who are carriers</w:t>
      </w:r>
    </w:p>
    <w:p w14:paraId="1FA4D004" w14:textId="68230623" w:rsidR="00EF2FFF" w:rsidRDefault="00EF2FFF" w:rsidP="00556800">
      <w:pPr>
        <w:pStyle w:val="ListParagraph"/>
        <w:numPr>
          <w:ilvl w:val="2"/>
          <w:numId w:val="6"/>
        </w:numPr>
      </w:pPr>
      <w:r>
        <w:t xml:space="preserve">Proportion of </w:t>
      </w:r>
      <w:r w:rsidR="00355178">
        <w:t xml:space="preserve">tested </w:t>
      </w:r>
      <w:r>
        <w:t>couples who are both carriers for the same recessively inherited disease</w:t>
      </w:r>
    </w:p>
    <w:p w14:paraId="60B7246B" w14:textId="6B3F7A53" w:rsidR="00A8606D" w:rsidRDefault="00A8606D" w:rsidP="00556800">
      <w:pPr>
        <w:pStyle w:val="ListParagraph"/>
        <w:numPr>
          <w:ilvl w:val="1"/>
          <w:numId w:val="6"/>
        </w:numPr>
      </w:pPr>
      <w:r>
        <w:t>C</w:t>
      </w:r>
      <w:r w:rsidRPr="009E7DB8">
        <w:t xml:space="preserve">hange in </w:t>
      </w:r>
      <w:r w:rsidR="00052481">
        <w:t xml:space="preserve">reproductive decisions made where </w:t>
      </w:r>
      <w:r w:rsidR="00BE0A44">
        <w:t xml:space="preserve">panel </w:t>
      </w:r>
      <w:r w:rsidR="00052481">
        <w:t>testing is perform</w:t>
      </w:r>
      <w:r w:rsidR="00BE0A44">
        <w:t xml:space="preserve">ed </w:t>
      </w:r>
      <w:r w:rsidR="00052481">
        <w:t>antenatally</w:t>
      </w:r>
    </w:p>
    <w:p w14:paraId="6CFD1248" w14:textId="2118A869" w:rsidR="00A8606D" w:rsidRPr="00127A86" w:rsidRDefault="00A8606D" w:rsidP="00556800">
      <w:pPr>
        <w:pStyle w:val="ListParagraph"/>
        <w:numPr>
          <w:ilvl w:val="1"/>
          <w:numId w:val="6"/>
        </w:numPr>
      </w:pPr>
      <w:r>
        <w:t>F</w:t>
      </w:r>
      <w:r w:rsidRPr="009E7DB8">
        <w:t>or women already pregnant</w:t>
      </w:r>
      <w:r>
        <w:t xml:space="preserve">: </w:t>
      </w:r>
      <w:r w:rsidR="00682409">
        <w:t xml:space="preserve">rate of </w:t>
      </w:r>
      <w:r w:rsidRPr="009E7DB8">
        <w:t xml:space="preserve">termination of pregnancy due to the detection </w:t>
      </w:r>
      <w:r w:rsidRPr="00127A86">
        <w:t>of a variant</w:t>
      </w:r>
    </w:p>
    <w:p w14:paraId="4A0189D4" w14:textId="4AE53C60" w:rsidR="00F72747" w:rsidRPr="00127A86" w:rsidRDefault="00F72747" w:rsidP="00316040">
      <w:pPr>
        <w:pStyle w:val="ListParagraph"/>
        <w:numPr>
          <w:ilvl w:val="1"/>
          <w:numId w:val="6"/>
        </w:numPr>
      </w:pPr>
      <w:r w:rsidRPr="00127A86">
        <w:t>In addition, PASC agreed that the downstream costs also include the costs of caring for a child who has inherited the severe disabling inheritable diseases.</w:t>
      </w:r>
    </w:p>
    <w:p w14:paraId="43B34632" w14:textId="77777777" w:rsidR="00A8606D" w:rsidRDefault="00A8606D" w:rsidP="00A8606D">
      <w:pPr>
        <w:rPr>
          <w:i/>
          <w:u w:val="single"/>
        </w:rPr>
      </w:pPr>
      <w:bookmarkStart w:id="21" w:name="_Hlk77346104"/>
      <w:r>
        <w:rPr>
          <w:i/>
          <w:u w:val="single"/>
        </w:rPr>
        <w:lastRenderedPageBreak/>
        <w:t>Societal outcomes:</w:t>
      </w:r>
    </w:p>
    <w:p w14:paraId="4F98D7AF" w14:textId="77777777" w:rsidR="00A8606D" w:rsidRPr="00D02768" w:rsidRDefault="00A8606D" w:rsidP="00556800">
      <w:pPr>
        <w:pStyle w:val="ListParagraph"/>
        <w:numPr>
          <w:ilvl w:val="1"/>
          <w:numId w:val="3"/>
        </w:numPr>
        <w:spacing w:line="240" w:lineRule="auto"/>
        <w:ind w:left="683"/>
        <w:rPr>
          <w:rFonts w:eastAsia="Times New Roman"/>
        </w:rPr>
      </w:pPr>
      <w:r w:rsidRPr="00D02768">
        <w:t xml:space="preserve">Healthcare </w:t>
      </w:r>
      <w:r>
        <w:t>resource use:</w:t>
      </w:r>
    </w:p>
    <w:p w14:paraId="35974784" w14:textId="4ACD2712" w:rsidR="00A8606D" w:rsidRPr="00D02768" w:rsidRDefault="00A8606D" w:rsidP="00556800">
      <w:pPr>
        <w:pStyle w:val="ListParagraph"/>
        <w:numPr>
          <w:ilvl w:val="1"/>
          <w:numId w:val="6"/>
        </w:numPr>
      </w:pPr>
      <w:r>
        <w:t>Number</w:t>
      </w:r>
      <w:r w:rsidR="00281C7A">
        <w:t xml:space="preserve"> of carrier tests</w:t>
      </w:r>
      <w:r>
        <w:t xml:space="preserve"> and cost of gene carrier testing</w:t>
      </w:r>
      <w:r w:rsidR="00052481">
        <w:t xml:space="preserve"> (in total, and per carrier ide</w:t>
      </w:r>
      <w:r w:rsidR="00E05347">
        <w:t>nt</w:t>
      </w:r>
      <w:r w:rsidR="00052481">
        <w:t>ified)</w:t>
      </w:r>
    </w:p>
    <w:p w14:paraId="079F5EDC" w14:textId="77777777" w:rsidR="00A8606D" w:rsidRDefault="00A8606D" w:rsidP="00556800">
      <w:pPr>
        <w:pStyle w:val="ListParagraph"/>
        <w:numPr>
          <w:ilvl w:val="1"/>
          <w:numId w:val="6"/>
        </w:numPr>
      </w:pPr>
      <w:r>
        <w:t>Number and cost of additional medical practitioner consultations</w:t>
      </w:r>
    </w:p>
    <w:p w14:paraId="089EE79A" w14:textId="5383F12F" w:rsidR="00A8606D" w:rsidRPr="009E7DB8" w:rsidRDefault="00A8606D" w:rsidP="00556800">
      <w:pPr>
        <w:pStyle w:val="ListParagraph"/>
        <w:numPr>
          <w:ilvl w:val="0"/>
          <w:numId w:val="6"/>
        </w:numPr>
      </w:pPr>
      <w:r w:rsidRPr="009E7DB8">
        <w:t>Cost-effectiveness outcomes</w:t>
      </w:r>
      <w:r w:rsidR="00EF2FFF">
        <w:t xml:space="preserve"> &amp; financial impact</w:t>
      </w:r>
      <w:r w:rsidRPr="009E7DB8">
        <w:t>:</w:t>
      </w:r>
    </w:p>
    <w:p w14:paraId="0144496A" w14:textId="02DE333F" w:rsidR="00EF2FFF" w:rsidRDefault="00EF2FFF" w:rsidP="00556800">
      <w:pPr>
        <w:pStyle w:val="ListParagraph"/>
        <w:numPr>
          <w:ilvl w:val="1"/>
          <w:numId w:val="6"/>
        </w:numPr>
      </w:pPr>
      <w:r>
        <w:t>Population 1</w:t>
      </w:r>
      <w:r w:rsidR="00223DD0">
        <w:t xml:space="preserve"> and 2</w:t>
      </w:r>
      <w:r>
        <w:t xml:space="preserve"> – number of tests expected, cost of carrier testing</w:t>
      </w:r>
    </w:p>
    <w:p w14:paraId="1416A669" w14:textId="77777777" w:rsidR="00223DD0" w:rsidRDefault="00EF2FFF" w:rsidP="00556800">
      <w:pPr>
        <w:pStyle w:val="ListParagraph"/>
        <w:numPr>
          <w:ilvl w:val="1"/>
          <w:numId w:val="6"/>
        </w:numPr>
      </w:pPr>
      <w:r>
        <w:t xml:space="preserve">Cost per individual identified with a pathogenic or likely pathogenic variant </w:t>
      </w:r>
    </w:p>
    <w:p w14:paraId="5327ADD9" w14:textId="7D44B6AA" w:rsidR="00A8606D" w:rsidRDefault="00A8606D" w:rsidP="00556800">
      <w:pPr>
        <w:pStyle w:val="ListParagraph"/>
        <w:numPr>
          <w:ilvl w:val="1"/>
          <w:numId w:val="6"/>
        </w:numPr>
      </w:pPr>
      <w:r w:rsidRPr="003F5963">
        <w:t xml:space="preserve">Cost per </w:t>
      </w:r>
      <w:r w:rsidR="00682409">
        <w:t xml:space="preserve">informed </w:t>
      </w:r>
      <w:r w:rsidRPr="003F5963">
        <w:t xml:space="preserve">reproductive </w:t>
      </w:r>
      <w:r w:rsidR="00052481">
        <w:t>decis</w:t>
      </w:r>
      <w:r w:rsidR="00682409">
        <w:t>i</w:t>
      </w:r>
      <w:r w:rsidR="00052481">
        <w:t>on</w:t>
      </w:r>
    </w:p>
    <w:p w14:paraId="344552CC" w14:textId="4C8CBD83" w:rsidR="00A8606D" w:rsidRDefault="00A8606D" w:rsidP="00556800">
      <w:pPr>
        <w:pStyle w:val="ListParagraph"/>
        <w:numPr>
          <w:ilvl w:val="1"/>
          <w:numId w:val="2"/>
        </w:numPr>
      </w:pPr>
      <w:r>
        <w:t>Costs per additional IVF</w:t>
      </w:r>
      <w:r w:rsidR="00052481">
        <w:t xml:space="preserve"> &amp; </w:t>
      </w:r>
      <w:r w:rsidR="00682409">
        <w:t>p</w:t>
      </w:r>
      <w:r w:rsidR="00052481">
        <w:t>reimplantation genetic diagnosis</w:t>
      </w:r>
      <w:r>
        <w:t xml:space="preserve"> event</w:t>
      </w:r>
    </w:p>
    <w:p w14:paraId="064AEDB5" w14:textId="77777777" w:rsidR="00EF2FFF" w:rsidRDefault="00EF2FFF" w:rsidP="00556800">
      <w:pPr>
        <w:pStyle w:val="ListParagraph"/>
        <w:numPr>
          <w:ilvl w:val="1"/>
          <w:numId w:val="2"/>
        </w:numPr>
      </w:pPr>
      <w:r>
        <w:t xml:space="preserve">Population 4 – number of terminations and cost per termination </w:t>
      </w:r>
    </w:p>
    <w:p w14:paraId="25B405B0" w14:textId="43FAD1ED" w:rsidR="00EF2FFF" w:rsidRDefault="00EF2FFF" w:rsidP="00556800">
      <w:pPr>
        <w:pStyle w:val="ListParagraph"/>
        <w:numPr>
          <w:ilvl w:val="1"/>
          <w:numId w:val="2"/>
        </w:numPr>
      </w:pPr>
      <w:r>
        <w:t xml:space="preserve">Cost per identified affected </w:t>
      </w:r>
      <w:proofErr w:type="spellStart"/>
      <w:r>
        <w:t>fetus</w:t>
      </w:r>
      <w:proofErr w:type="spellEnd"/>
    </w:p>
    <w:p w14:paraId="0635444D" w14:textId="78386F3A" w:rsidR="00EF2FFF" w:rsidRDefault="00A8606D" w:rsidP="00556800">
      <w:pPr>
        <w:pStyle w:val="ListParagraph"/>
        <w:numPr>
          <w:ilvl w:val="0"/>
          <w:numId w:val="2"/>
        </w:numPr>
        <w:ind w:left="720"/>
      </w:pPr>
      <w:r w:rsidRPr="00607373">
        <w:t>Total healthcare costs</w:t>
      </w:r>
      <w:r w:rsidR="00EF2FFF">
        <w:t>:</w:t>
      </w:r>
    </w:p>
    <w:p w14:paraId="289CEC4B" w14:textId="15882F07" w:rsidR="00EF2FFF" w:rsidRDefault="00EF2FFF" w:rsidP="00556800">
      <w:pPr>
        <w:pStyle w:val="ListParagraph"/>
        <w:numPr>
          <w:ilvl w:val="1"/>
          <w:numId w:val="2"/>
        </w:numPr>
      </w:pPr>
      <w:r>
        <w:t>Number and cost of additional medical practitioner consultations</w:t>
      </w:r>
    </w:p>
    <w:p w14:paraId="0BB31B5D" w14:textId="280FF2E4" w:rsidR="00A8606D" w:rsidRDefault="00EF2FFF" w:rsidP="00556800">
      <w:pPr>
        <w:pStyle w:val="ListParagraph"/>
        <w:numPr>
          <w:ilvl w:val="1"/>
          <w:numId w:val="2"/>
        </w:numPr>
      </w:pPr>
      <w:r>
        <w:t>Reduction in costs of associated therapies (where applicable))</w:t>
      </w:r>
    </w:p>
    <w:bookmarkEnd w:id="21"/>
    <w:p w14:paraId="0DA85E6D" w14:textId="2633D2E0" w:rsidR="00742F9F" w:rsidRDefault="00742F9F" w:rsidP="00A8606D">
      <w:r>
        <w:t>One key point for the assessment to consider is that each recessive disease tested for on the panel needs to be considered separately in the calculation of couple risk (and couple diagnostic yield). If both partners in a couple are carriers of risk variants but for different diseases, then their potential children are not at increased risk. Increased risk of having a child with a disease occurs only where both individuals in a couple are found to be carriers of variants for the same disease.</w:t>
      </w:r>
    </w:p>
    <w:p w14:paraId="0B84EFF6" w14:textId="02D9B49B" w:rsidR="00A8606D" w:rsidRDefault="00A8606D" w:rsidP="00A8606D">
      <w:r>
        <w:t>Unlike cancer screening programs, carrier testing is directed at people who are not likely to develop the disease themselves, but rather at those who are at risk of having children who will be affected by a serious inherited genetic disorder.</w:t>
      </w:r>
      <w:r w:rsidR="00F84B1C">
        <w:t xml:space="preserve"> </w:t>
      </w:r>
      <w:r>
        <w:t xml:space="preserve">The goal of carrier testing is to provide information to individuals and couples </w:t>
      </w:r>
      <w:r w:rsidRPr="00A70925">
        <w:t xml:space="preserve">about the risk of a clinically significant genetic condition </w:t>
      </w:r>
      <w:r w:rsidR="00052481" w:rsidRPr="00A70925">
        <w:t>with associated morbidity and/or mortality</w:t>
      </w:r>
      <w:r w:rsidR="00052481">
        <w:t xml:space="preserve"> in</w:t>
      </w:r>
      <w:r w:rsidRPr="00A70925">
        <w:t xml:space="preserve"> their offspring</w:t>
      </w:r>
      <w:r>
        <w:t xml:space="preserve">. Providing this information </w:t>
      </w:r>
      <w:r w:rsidRPr="00A70925">
        <w:t>enables informed reproductive choice</w:t>
      </w:r>
      <w:r>
        <w:t xml:space="preserve">s to be made, in order that pregnancy with a child with a serious incurable childhood-onset disorder may be minimised or avoided. Ultimately, the benefits of </w:t>
      </w:r>
      <w:r w:rsidR="00052481">
        <w:t xml:space="preserve">carrier </w:t>
      </w:r>
      <w:r w:rsidR="005C2577">
        <w:t xml:space="preserve">testing </w:t>
      </w:r>
      <w:r>
        <w:t xml:space="preserve">should outweigh any potential harms </w:t>
      </w:r>
      <w:r>
        <w:fldChar w:fldCharType="begin">
          <w:fldData xml:space="preserve">PEVuZE5vdGU+PENpdGU+PEF1dGhvcj5CZWFyZDwvQXV0aG9yPjxZZWFyPjIwMTY8L1llYXI+PFJl
Y051bT42MjwvUmVjTnVtPjxJRFRleHQ+MjcxNTA5NTM8L0lEVGV4dD48RGlzcGxheVRleHQ+KEJl
YXJkLCBBbW9yLCBEaSBQaWV0cm8sICZhbXA7IEFyY2hpYmFsZCwgMjAxNjsgQ2FuY2VyIENvdW5j
aWwgQXVzdHJhbGlhLCAyMDE4KTwvRGlzcGxheVRleHQ+PHJlY29yZD48cmVjLW51bWJlcj42Mjwv
cmVjLW51bWJlcj48Zm9yZWlnbi1rZXlzPjxrZXkgYXBwPSJFTiIgZGItaWQ9InR2ZDJ4MmFlcHJw
OTB0ZTIyZW94OXR2eGZlMmEweHYwdGRmcyIgdGltZXN0YW1wPSIxNjIzMzczMTYwIj42Mjwva2V5
PjwvZm9yZWlnbi1rZXlzPjxyZWYtdHlwZSBuYW1lPSJKb3VybmFsIEFydGljbGUiPjE3PC9yZWYt
dHlwZT48Y29udHJpYnV0b3JzPjxhdXRob3JzPjxhdXRob3I+QmVhcmQsIEMuIEEuPC9hdXRob3I+
PGF1dGhvcj5BbW9yLCBELiBKLjwvYXV0aG9yPjxhdXRob3I+RGkgUGlldHJvLCBMLjwvYXV0aG9y
PjxhdXRob3I+QXJjaGliYWxkLCBBLiBELjwvYXV0aG9yPjwvYXV0aG9ycz48L2NvbnRyaWJ1dG9y
cz48YXV0aC1hZGRyZXNzPkRlcGFydG1lbnQgb2YgUGFlZGlhdHJpY3MsIFVuaXZlcnNpdHkgb2Yg
TWVsYm91cm5lLCBNZWxib3VybmUsIFZpY3RvcmlhLCBBdXN0cmFsaWEuJiN4RDtNdXJkb2NoIENo
aWxkcmVucyBSZXNlYXJjaCBJbnN0aXR1dGUsIE1lbGJvdXJuZSwgVmljdG9yaWEsIEF1c3RyYWxp
YS4mI3hEO1ZpY3RvcmlhbiBDbGluaWNhbCBHZW5ldGljcyBTZXJ2aWNlcywgTWVsYm91cm5lLCBW
aWN0b3JpYSwgQXVzdHJhbGlhLiYjeEQ7R2VuZXRpYyBTdXBwb3J0IE5ldHdvcmsgb2YgVmljdG9y
aWEsIE1lbGJvdXJuZSwgVmljdG9yaWEsIEF1c3RyYWxpYS48L2F1dGgtYWRkcmVzcz48dGl0bGVz
Pjx0aXRsZT4mcXVvdDtJJmFwb3M7bSBIZWFsdGh5LCBJdCZhcG9zO3MgTm90IEdvaW5nIFRvIEJl
IE1lJnF1b3Q7OiBFeHBsb3JpbmcgZXhwZXJpZW5jZXMgb2YgY2FycmllcnMgaWRlbnRpZmllZCB0
aHJvdWdoIGEgcG9wdWxhdGlvbiByZXByb2R1Y3RpdmUgZ2VuZXRpYyBjYXJyaWVyIHNjcmVlbmlu
ZyBwYW5lbCBpbiBBdXN0cmFsaWE8L3RpdGxlPjxzZWNvbmRhcnktdGl0bGU+QW0gSiBNZWQgR2Vu
ZXQgQTwvc2Vjb25kYXJ5LXRpdGxlPjwvdGl0bGVzPjxwZXJpb2RpY2FsPjxmdWxsLXRpdGxlPkFt
IEogTWVkIEdlbmV0IEE8L2Z1bGwtdGl0bGU+PC9wZXJpb2RpY2FsPjxwYWdlcz4yMDUyLTk8L3Bh
Z2VzPjx2b2x1bWU+MTcwPC92b2x1bWU+PG51bWJlcj44PC9udW1iZXI+PGVkaXRpb24+MjAxNi8w
NS8wNzwvZWRpdGlvbj48a2V5d29yZHM+PGtleXdvcmQ+QWR1bHQ8L2tleXdvcmQ+PGtleXdvcmQ+
QXVzdHJhbGlhL2VwaWRlbWlvbG9neTwva2V5d29yZD48a2V5d29yZD5Db21tdW5pY2F0aW9uPC9r
ZXl3b3JkPjxrZXl3b3JkPkZhbWlseTwva2V5d29yZD48a2V5d29yZD5GZW1hbGU8L2tleXdvcmQ+
PGtleXdvcmQ+KkdlbmV0aWMgQ2FycmllciBTY3JlZW5pbmcvbWV0aG9kczwva2V5d29yZD48a2V5
d29yZD5HZW5ldGljIENvdW5zZWxpbmc8L2tleXdvcmQ+PGtleXdvcmQ+R2VuZXRpYyBEaXNlYXNl
cywgSW5ib3JuL2RpYWdub3Npcy8qZXBpZGVtaW9sb2d5LypnZW5ldGljczwva2V5d29yZD48a2V5
d29yZD5HZW5ldGljIFRlc3RpbmcvbWV0aG9kcy8qc3RhdGlzdGljcyAmYW1wOyBudW1lcmljYWwg
ZGF0YTwva2V5d29yZD48a2V5d29yZD5HZW5ldGljcywgUG9wdWxhdGlvbjwva2V5d29yZD48a2V5
d29yZD4qSGV0ZXJvenlnb3RlPC9rZXl3b3JkPjxrZXl3b3JkPkh1bWFuczwva2V5d29yZD48a2V5
d29yZD4qUG9wdWxhdGlvbiBTdXJ2ZWlsbGFuY2U8L2tleXdvcmQ+PGtleXdvcmQ+UHJlbmF0YWwg
RGlhZ25vc2lzPC9rZXl3b3JkPjxrZXl3b3JkPlF1YWxpdGF0aXZlIFJlc2VhcmNoPC9rZXl3b3Jk
PjxrZXl3b3JkPlN1cnZleXMgYW5kIFF1ZXN0aW9ubmFpcmVzPC9rZXl3b3JkPjxrZXl3b3JkPipj
b21tdW5pdHkgZ2VuZXRpY3M8L2tleXdvcmQ+PGtleXdvcmQ+KmN5c3RpYyBmaWJyb3Npczwva2V5
d29yZD48a2V5d29yZD4qZnJhZ2lsZSBYIHN5bmRyb21lPC9rZXl3b3JkPjxrZXl3b3JkPipwb3B1
bGF0aW9uIGNhcnJpZXIgc2NyZWVuaW5nPC9rZXl3b3JkPjxrZXl3b3JkPipxdWFsaXRhdGl2ZSBy
ZXNlYXJjaDwva2V5d29yZD48a2V5d29yZD4qc3BpbmFsIG11c2N1bGFyIGF0cm9waHk8L2tleXdv
cmQ+PC9rZXl3b3Jkcz48ZGF0ZXM+PHllYXI+MjAxNjwveWVhcj48cHViLWRhdGVzPjxkYXRlPkF1
ZzwvZGF0ZT48L3B1Yi1kYXRlcz48L2RhdGVzPjxpc2JuPjE1NTItNDgyNTwvaXNibj48YWNjZXNz
aW9uLW51bT4yNzE1MDk1MzwvYWNjZXNzaW9uLW51bT48dXJscz48cmVsYXRlZC11cmxzPjx1cmw+
aHR0cHM6Ly9vbmxpbmVsaWJyYXJ5LndpbGV5LmNvbS9kb2kvYWJzLzEwLjEwMDIvYWptZy5hLjM3
Njk3PC91cmw+PC9yZWxhdGVkLXVybHM+PC91cmxzPjxlbGVjdHJvbmljLXJlc291cmNlLW51bT4x
MC4xMDAyL2FqbWcuYS4zNzY5NzwvZWxlY3Ryb25pYy1yZXNvdXJjZS1udW0+PHJlbW90ZS1kYXRh
YmFzZS1wcm92aWRlcj5OTE08L3JlbW90ZS1kYXRhYmFzZS1wcm92aWRlcj48bGFuZ3VhZ2U+ZW5n
PC9sYW5ndWFnZT48L3JlY29yZD48L0NpdGU+PENpdGU+PEF1dGhvcj5DYW5jZXIgQ291bmNpbCBB
dXN0cmFsaWE8L0F1dGhvcj48WWVhcj4yMDE4PC9ZZWFyPjxSZWNOdW0+Njk8L1JlY051bT48cmVj
b3JkPjxyZWMtbnVtYmVyPjY5PC9yZWMtbnVtYmVyPjxmb3JlaWduLWtleXM+PGtleSBhcHA9IkVO
IiBkYi1pZD0idHZkMngyYWVwcnA5MHRlMjJlb3g5dHZ4ZmUyYTB4djB0ZGZzIiB0aW1lc3RhbXA9
IjE2MjMzNzMxNjAiPjY5PC9rZXk+PC9mb3JlaWduLWtleXM+PHJlZi10eXBlIG5hbWU9IldlYiBQ
YWdlIj4xMjwvcmVmLXR5cGU+PGNvbnRyaWJ1dG9ycz48YXV0aG9ycz48YXV0aG9yPkNhbmNlciBD
b3VuY2lsIEF1c3RyYWxpYSw8L2F1dGhvcj48L2F1dGhvcnM+PC9jb250cmlidXRvcnM+PHRpdGxl
cz48dGl0bGU+UHJpbmNpcGxlcyBvZiBzY3JlZW5pbmcgLSBOYXRpb25hbCBDYW5jZXIgQ29udHJv
bCBQb2xpY3k8L3RpdGxlPjwvdGl0bGVzPjx2b2x1bWU+MjAyMDwvdm9sdW1lPjxudW1iZXI+Mjl0
aCBTZXB0ZW1iZXI8L251bWJlcj48ZGF0ZXM+PHllYXI+MjAxODwveWVhcj48L2RhdGVzPjx1cmxz
PjxyZWxhdGVkLXVybHM+PHVybD48c3R5bGUgZmFjZT0idW5kZXJsaW5lIiBmb250PSJkZWZhdWx0
IiBzaXplPSIxMDAlIj5odHRwczovL3dpa2kuY2FuY2VyLm9yZy5hdS9wb2xpY3kvUHJpbmNpcGxl
c19vZl9zY3JlZW5pbmc8L3N0eWxlPjwvdXJsPjwvcmVsYXRlZC11cmxzPjwvdXJscz48L3JlY29y
ZD48L0NpdGU+PC9FbmROb3RlPn==
</w:fldData>
        </w:fldChar>
      </w:r>
      <w:r>
        <w:instrText xml:space="preserve"> ADDIN EN.CITE </w:instrText>
      </w:r>
      <w:r>
        <w:fldChar w:fldCharType="begin">
          <w:fldData xml:space="preserve">PEVuZE5vdGU+PENpdGU+PEF1dGhvcj5CZWFyZDwvQXV0aG9yPjxZZWFyPjIwMTY8L1llYXI+PFJl
Y051bT42MjwvUmVjTnVtPjxJRFRleHQ+MjcxNTA5NTM8L0lEVGV4dD48RGlzcGxheVRleHQ+KEJl
YXJkLCBBbW9yLCBEaSBQaWV0cm8sICZhbXA7IEFyY2hpYmFsZCwgMjAxNjsgQ2FuY2VyIENvdW5j
aWwgQXVzdHJhbGlhLCAyMDE4KTwvRGlzcGxheVRleHQ+PHJlY29yZD48cmVjLW51bWJlcj42Mjwv
cmVjLW51bWJlcj48Zm9yZWlnbi1rZXlzPjxrZXkgYXBwPSJFTiIgZGItaWQ9InR2ZDJ4MmFlcHJw
OTB0ZTIyZW94OXR2eGZlMmEweHYwdGRmcyIgdGltZXN0YW1wPSIxNjIzMzczMTYwIj42Mjwva2V5
PjwvZm9yZWlnbi1rZXlzPjxyZWYtdHlwZSBuYW1lPSJKb3VybmFsIEFydGljbGUiPjE3PC9yZWYt
dHlwZT48Y29udHJpYnV0b3JzPjxhdXRob3JzPjxhdXRob3I+QmVhcmQsIEMuIEEuPC9hdXRob3I+
PGF1dGhvcj5BbW9yLCBELiBKLjwvYXV0aG9yPjxhdXRob3I+RGkgUGlldHJvLCBMLjwvYXV0aG9y
PjxhdXRob3I+QXJjaGliYWxkLCBBLiBELjwvYXV0aG9yPjwvYXV0aG9ycz48L2NvbnRyaWJ1dG9y
cz48YXV0aC1hZGRyZXNzPkRlcGFydG1lbnQgb2YgUGFlZGlhdHJpY3MsIFVuaXZlcnNpdHkgb2Yg
TWVsYm91cm5lLCBNZWxib3VybmUsIFZpY3RvcmlhLCBBdXN0cmFsaWEuJiN4RDtNdXJkb2NoIENo
aWxkcmVucyBSZXNlYXJjaCBJbnN0aXR1dGUsIE1lbGJvdXJuZSwgVmljdG9yaWEsIEF1c3RyYWxp
YS4mI3hEO1ZpY3RvcmlhbiBDbGluaWNhbCBHZW5ldGljcyBTZXJ2aWNlcywgTWVsYm91cm5lLCBW
aWN0b3JpYSwgQXVzdHJhbGlhLiYjeEQ7R2VuZXRpYyBTdXBwb3J0IE5ldHdvcmsgb2YgVmljdG9y
aWEsIE1lbGJvdXJuZSwgVmljdG9yaWEsIEF1c3RyYWxpYS48L2F1dGgtYWRkcmVzcz48dGl0bGVz
Pjx0aXRsZT4mcXVvdDtJJmFwb3M7bSBIZWFsdGh5LCBJdCZhcG9zO3MgTm90IEdvaW5nIFRvIEJl
IE1lJnF1b3Q7OiBFeHBsb3JpbmcgZXhwZXJpZW5jZXMgb2YgY2FycmllcnMgaWRlbnRpZmllZCB0
aHJvdWdoIGEgcG9wdWxhdGlvbiByZXByb2R1Y3RpdmUgZ2VuZXRpYyBjYXJyaWVyIHNjcmVlbmlu
ZyBwYW5lbCBpbiBBdXN0cmFsaWE8L3RpdGxlPjxzZWNvbmRhcnktdGl0bGU+QW0gSiBNZWQgR2Vu
ZXQgQTwvc2Vjb25kYXJ5LXRpdGxlPjwvdGl0bGVzPjxwZXJpb2RpY2FsPjxmdWxsLXRpdGxlPkFt
IEogTWVkIEdlbmV0IEE8L2Z1bGwtdGl0bGU+PC9wZXJpb2RpY2FsPjxwYWdlcz4yMDUyLTk8L3Bh
Z2VzPjx2b2x1bWU+MTcwPC92b2x1bWU+PG51bWJlcj44PC9udW1iZXI+PGVkaXRpb24+MjAxNi8w
NS8wNzwvZWRpdGlvbj48a2V5d29yZHM+PGtleXdvcmQ+QWR1bHQ8L2tleXdvcmQ+PGtleXdvcmQ+
QXVzdHJhbGlhL2VwaWRlbWlvbG9neTwva2V5d29yZD48a2V5d29yZD5Db21tdW5pY2F0aW9uPC9r
ZXl3b3JkPjxrZXl3b3JkPkZhbWlseTwva2V5d29yZD48a2V5d29yZD5GZW1hbGU8L2tleXdvcmQ+
PGtleXdvcmQ+KkdlbmV0aWMgQ2FycmllciBTY3JlZW5pbmcvbWV0aG9kczwva2V5d29yZD48a2V5
d29yZD5HZW5ldGljIENvdW5zZWxpbmc8L2tleXdvcmQ+PGtleXdvcmQ+R2VuZXRpYyBEaXNlYXNl
cywgSW5ib3JuL2RpYWdub3Npcy8qZXBpZGVtaW9sb2d5LypnZW5ldGljczwva2V5d29yZD48a2V5
d29yZD5HZW5ldGljIFRlc3RpbmcvbWV0aG9kcy8qc3RhdGlzdGljcyAmYW1wOyBudW1lcmljYWwg
ZGF0YTwva2V5d29yZD48a2V5d29yZD5HZW5ldGljcywgUG9wdWxhdGlvbjwva2V5d29yZD48a2V5
d29yZD4qSGV0ZXJvenlnb3RlPC9rZXl3b3JkPjxrZXl3b3JkPkh1bWFuczwva2V5d29yZD48a2V5
d29yZD4qUG9wdWxhdGlvbiBTdXJ2ZWlsbGFuY2U8L2tleXdvcmQ+PGtleXdvcmQ+UHJlbmF0YWwg
RGlhZ25vc2lzPC9rZXl3b3JkPjxrZXl3b3JkPlF1YWxpdGF0aXZlIFJlc2VhcmNoPC9rZXl3b3Jk
PjxrZXl3b3JkPlN1cnZleXMgYW5kIFF1ZXN0aW9ubmFpcmVzPC9rZXl3b3JkPjxrZXl3b3JkPipj
b21tdW5pdHkgZ2VuZXRpY3M8L2tleXdvcmQ+PGtleXdvcmQ+KmN5c3RpYyBmaWJyb3Npczwva2V5
d29yZD48a2V5d29yZD4qZnJhZ2lsZSBYIHN5bmRyb21lPC9rZXl3b3JkPjxrZXl3b3JkPipwb3B1
bGF0aW9uIGNhcnJpZXIgc2NyZWVuaW5nPC9rZXl3b3JkPjxrZXl3b3JkPipxdWFsaXRhdGl2ZSBy
ZXNlYXJjaDwva2V5d29yZD48a2V5d29yZD4qc3BpbmFsIG11c2N1bGFyIGF0cm9waHk8L2tleXdv
cmQ+PC9rZXl3b3Jkcz48ZGF0ZXM+PHllYXI+MjAxNjwveWVhcj48cHViLWRhdGVzPjxkYXRlPkF1
ZzwvZGF0ZT48L3B1Yi1kYXRlcz48L2RhdGVzPjxpc2JuPjE1NTItNDgyNTwvaXNibj48YWNjZXNz
aW9uLW51bT4yNzE1MDk1MzwvYWNjZXNzaW9uLW51bT48dXJscz48cmVsYXRlZC11cmxzPjx1cmw+
aHR0cHM6Ly9vbmxpbmVsaWJyYXJ5LndpbGV5LmNvbS9kb2kvYWJzLzEwLjEwMDIvYWptZy5hLjM3
Njk3PC91cmw+PC9yZWxhdGVkLXVybHM+PC91cmxzPjxlbGVjdHJvbmljLXJlc291cmNlLW51bT4x
MC4xMDAyL2FqbWcuYS4zNzY5NzwvZWxlY3Ryb25pYy1yZXNvdXJjZS1udW0+PHJlbW90ZS1kYXRh
YmFzZS1wcm92aWRlcj5OTE08L3JlbW90ZS1kYXRhYmFzZS1wcm92aWRlcj48bGFuZ3VhZ2U+ZW5n
PC9sYW5ndWFnZT48L3JlY29yZD48L0NpdGU+PENpdGU+PEF1dGhvcj5DYW5jZXIgQ291bmNpbCBB
dXN0cmFsaWE8L0F1dGhvcj48WWVhcj4yMDE4PC9ZZWFyPjxSZWNOdW0+Njk8L1JlY051bT48cmVj
b3JkPjxyZWMtbnVtYmVyPjY5PC9yZWMtbnVtYmVyPjxmb3JlaWduLWtleXM+PGtleSBhcHA9IkVO
IiBkYi1pZD0idHZkMngyYWVwcnA5MHRlMjJlb3g5dHZ4ZmUyYTB4djB0ZGZzIiB0aW1lc3RhbXA9
IjE2MjMzNzMxNjAiPjY5PC9rZXk+PC9mb3JlaWduLWtleXM+PHJlZi10eXBlIG5hbWU9IldlYiBQ
YWdlIj4xMjwvcmVmLXR5cGU+PGNvbnRyaWJ1dG9ycz48YXV0aG9ycz48YXV0aG9yPkNhbmNlciBD
b3VuY2lsIEF1c3RyYWxpYSw8L2F1dGhvcj48L2F1dGhvcnM+PC9jb250cmlidXRvcnM+PHRpdGxl
cz48dGl0bGU+UHJpbmNpcGxlcyBvZiBzY3JlZW5pbmcgLSBOYXRpb25hbCBDYW5jZXIgQ29udHJv
bCBQb2xpY3k8L3RpdGxlPjwvdGl0bGVzPjx2b2x1bWU+MjAyMDwvdm9sdW1lPjxudW1iZXI+Mjl0
aCBTZXB0ZW1iZXI8L251bWJlcj48ZGF0ZXM+PHllYXI+MjAxODwveWVhcj48L2RhdGVzPjx1cmxz
PjxyZWxhdGVkLXVybHM+PHVybD48c3R5bGUgZmFjZT0idW5kZXJsaW5lIiBmb250PSJkZWZhdWx0
IiBzaXplPSIxMDAlIj5odHRwczovL3dpa2kuY2FuY2VyLm9yZy5hdS9wb2xpY3kvUHJpbmNpcGxl
c19vZl9zY3JlZW5pbmc8L3N0eWxlPjwvdXJsPjwvcmVsYXRlZC11cmxzPjwvdXJscz48L3JlY29y
ZD48L0NpdGU+PC9FbmROb3RlPn==
</w:fldData>
        </w:fldChar>
      </w:r>
      <w:r>
        <w:instrText xml:space="preserve"> ADDIN EN.CITE.DATA </w:instrText>
      </w:r>
      <w:r>
        <w:fldChar w:fldCharType="end"/>
      </w:r>
      <w:r>
        <w:fldChar w:fldCharType="separate"/>
      </w:r>
      <w:r>
        <w:rPr>
          <w:noProof/>
        </w:rPr>
        <w:t>(Beard, Amor, Di Pietro, &amp; Archibald, 2016; Cancer Council Australia, 2018)</w:t>
      </w:r>
      <w:r>
        <w:fldChar w:fldCharType="end"/>
      </w:r>
      <w:r>
        <w:t>. This contrasts with newborn screening programs</w:t>
      </w:r>
      <w:r w:rsidR="00002AE8">
        <w:t>,</w:t>
      </w:r>
      <w:r>
        <w:t xml:space="preserve"> which seek to identify affected child</w:t>
      </w:r>
      <w:r w:rsidR="00002AE8">
        <w:t>ren</w:t>
      </w:r>
      <w:r>
        <w:t xml:space="preserve"> at an early age to expedite interventions that could modify the disease course.</w:t>
      </w:r>
      <w:r w:rsidR="00F84B1C">
        <w:t xml:space="preserve"> </w:t>
      </w:r>
    </w:p>
    <w:p w14:paraId="05F658C2" w14:textId="10327272" w:rsidR="00A8606D" w:rsidRDefault="00A8606D" w:rsidP="00A8606D">
      <w:r>
        <w:t xml:space="preserve">The introduction of carrier testing for severe monogenic disorders might result in an increase in the use of pre-implantation genetic diagnosis, prenatal </w:t>
      </w:r>
      <w:proofErr w:type="gramStart"/>
      <w:r>
        <w:t>diagnosis</w:t>
      </w:r>
      <w:proofErr w:type="gramEnd"/>
      <w:r>
        <w:t xml:space="preserve"> and in vitro fertilisation, with a concomitant reduction in the number of severely clinically affected children born over time. </w:t>
      </w:r>
      <w:r w:rsidRPr="00621F7B">
        <w:t xml:space="preserve">The Australian evidence for preconception </w:t>
      </w:r>
      <w:r>
        <w:t>testing</w:t>
      </w:r>
      <w:r w:rsidRPr="00621F7B">
        <w:t xml:space="preserve"> derives predominantly from </w:t>
      </w:r>
      <w:r>
        <w:t xml:space="preserve">the </w:t>
      </w:r>
      <w:r w:rsidRPr="00621F7B">
        <w:t xml:space="preserve">evaluation of </w:t>
      </w:r>
      <w:proofErr w:type="gramStart"/>
      <w:r>
        <w:t>school-based</w:t>
      </w:r>
      <w:proofErr w:type="gramEnd"/>
      <w:r>
        <w:t xml:space="preserve"> </w:t>
      </w:r>
      <w:r w:rsidRPr="00621F7B">
        <w:t xml:space="preserve">TSD </w:t>
      </w:r>
      <w:r>
        <w:t>testing</w:t>
      </w:r>
      <w:r w:rsidRPr="00621F7B">
        <w:t xml:space="preserve"> programs</w:t>
      </w:r>
      <w:r>
        <w:t xml:space="preserve"> in the </w:t>
      </w:r>
      <w:r w:rsidR="00666B40">
        <w:t xml:space="preserve">Ashkenazi Jewish </w:t>
      </w:r>
      <w:r>
        <w:t>population</w:t>
      </w:r>
      <w:r w:rsidRPr="00621F7B">
        <w:t xml:space="preserve">. </w:t>
      </w:r>
      <w:r>
        <w:t>Long-term follow-up found that the t</w:t>
      </w:r>
      <w:r w:rsidRPr="00621F7B">
        <w:t xml:space="preserve">esting </w:t>
      </w:r>
      <w:r>
        <w:t xml:space="preserve">program was </w:t>
      </w:r>
      <w:r w:rsidRPr="00621F7B">
        <w:t xml:space="preserve">acceptable to students </w:t>
      </w:r>
      <w:r>
        <w:t xml:space="preserve">and parents </w:t>
      </w:r>
      <w:r w:rsidRPr="00621F7B">
        <w:t>with high levels of participation (&gt;98%) and low levels of anxiety associated with diagnosis of TSD carrier status.</w:t>
      </w:r>
      <w:r>
        <w:t xml:space="preserve"> </w:t>
      </w:r>
      <w:r w:rsidRPr="00621F7B">
        <w:t xml:space="preserve">Over </w:t>
      </w:r>
      <w:r>
        <w:t xml:space="preserve">a </w:t>
      </w:r>
      <w:r w:rsidRPr="00621F7B">
        <w:t>17-year evaluation</w:t>
      </w:r>
      <w:r>
        <w:t xml:space="preserve"> period</w:t>
      </w:r>
      <w:r w:rsidRPr="00621F7B">
        <w:t xml:space="preserve">, no </w:t>
      </w:r>
      <w:r w:rsidR="003146E7" w:rsidRPr="00621F7B">
        <w:t>Australian</w:t>
      </w:r>
      <w:r w:rsidR="003146E7">
        <w:t xml:space="preserve"> tes</w:t>
      </w:r>
      <w:r w:rsidR="003146E7" w:rsidRPr="00621F7B">
        <w:t>ting</w:t>
      </w:r>
      <w:r w:rsidR="005C2577" w:rsidRPr="00621F7B">
        <w:t xml:space="preserve"> </w:t>
      </w:r>
      <w:r w:rsidRPr="00621F7B">
        <w:t>program participant has had a TSD</w:t>
      </w:r>
      <w:r>
        <w:t>-</w:t>
      </w:r>
      <w:r w:rsidRPr="00621F7B">
        <w:t xml:space="preserve">affected child, representing 100% disease prevention </w:t>
      </w:r>
      <w:r>
        <w:t>and 100% health outcomes effectiveness</w:t>
      </w:r>
      <w:r w:rsidRPr="00621F7B">
        <w:t xml:space="preserve"> in this cohort</w:t>
      </w:r>
      <w:r>
        <w:t xml:space="preserve"> </w:t>
      </w:r>
      <w:r>
        <w:fldChar w:fldCharType="begin">
          <w:fldData xml:space="preserve">PEVuZE5vdGU+PENpdGU+PEF1dGhvcj5DdXJkPC9BdXRob3I+PFllYXI+MjAxNDwvWWVhcj48UmVj
TnVtPjI2PC9SZWNOdW0+PERpc3BsYXlUZXh0PihDdXJkIGV0IGFsLiwgMjAxNDsgSEdTQSwgMjAx
NTsgTGV3LCBCdXJuZXR0LCBQcm9vcywgJmFtcDsgRGVsYXR5Y2tpLCAyMDE1OyBMZXcgZXQgYWwu
LCAyMDEyKTwvRGlzcGxheVRleHQ+PHJlY29yZD48cmVjLW51bWJlcj4yNjwvcmVjLW51bWJlcj48
Zm9yZWlnbi1rZXlzPjxrZXkgYXBwPSJFTiIgZGItaWQ9InR2ZDJ4MmFlcHJwOTB0ZTIyZW94OXR2
eGZlMmEweHYwdGRmcyIgdGltZXN0YW1wPSIxNjIzMzczMTU4Ij4yNjwva2V5PjwvZm9yZWlnbi1r
ZXlzPjxyZWYtdHlwZSBuYW1lPSJKb3VybmFsIEFydGljbGUiPjE3PC9yZWYtdHlwZT48Y29udHJp
YnV0b3JzPjxhdXRob3JzPjxhdXRob3I+Q3VyZCwgSC48L2F1dGhvcj48YXV0aG9yPkxld2lzLCBT
LjwvYXV0aG9yPjxhdXRob3I+TWFjY2lvY2NhLCBJLjwvYXV0aG9yPjxhdXRob3I+U2FoaGFyLCBN
LjwvYXV0aG9yPjxhdXRob3I+UGV0cm91LCBWLjwvYXV0aG9yPjxhdXRob3I+QmFua2llciwgQS48
L2F1dGhvcj48YXV0aG9yPkxpZWJlcm1hbiwgUy48L2F1dGhvcj48YXV0aG9yPkxldnktTGFoYWQs
IEUuPC9hdXRob3I+PGF1dGhvcj5EZWxhdHlja2ksIE0uIEIuPC9hdXRob3I+PC9hdXRob3JzPjwv
Y29udHJpYnV0b3JzPjxhdXRoLWFkZHJlc3M+TS5CLiBEZWxhdHlja2ksIE11cmRvY2ggQ2hpbGRy
ZW5zIFJlc2VhcmNoIEluc3RpdHV0ZSwgRmxlbWluZ3RvbiBSb2FkLCBNZWxib3VybmUsIFZJQyAz
MDUyLCBBdXN0cmFsaWE8L2F1dGgtYWRkcmVzcz48dGl0bGVzPjx0aXRsZT5IaWdoIHNjaG9vbCBU
YXktU2FjaHMgZGlzZWFzZSBjYXJyaWVyIHNjcmVlbmluZzogNSBUbyAxMS15ZWFyIGZvbGxvdy11
cDwvdGl0bGU+PHNlY29uZGFyeS10aXRsZT5Kb3VybmFsIG9mIENvbW11bml0eSBHZW5ldGljczwv
c2Vjb25kYXJ5LXRpdGxlPjwvdGl0bGVzPjxwZXJpb2RpY2FsPjxmdWxsLXRpdGxlPkpvdXJuYWwg
b2YgQ29tbXVuaXR5IEdlbmV0aWNzPC9mdWxsLXRpdGxlPjwvcGVyaW9kaWNhbD48cGFnZXM+MTM5
LTE0NjwvcGFnZXM+PHZvbHVtZT41PC92b2x1bWU+PG51bWJlcj4yPC9udW1iZXI+PGtleXdvcmRz
PjxrZXl3b3JkPmFkdWx0PC9rZXl3b3JkPjxrZXl3b3JkPmFueGlldHk8L2tleXdvcmQ+PGtleXdv
cmQ+YXJ0aWNsZTwva2V5d29yZD48a2V5d29yZD5Bc2hrZW5hemkgSmV3aXNoPC9rZXl3b3JkPjxr
ZXl3b3JkPmF0dGl0dWRlIHRvIGlsbG5lc3M8L2tleXdvcmQ+PGtleXdvcmQ+QXVzdHJhbGlhPC9r
ZXl3b3JkPjxrZXl3b3JkPmJpb2xvZ2ljYWwgcGhlbm9tZW5hIGFuZCBmdW5jdGlvbnMgY29uY2Vy
bmluZyB0aGUgZW50aXJlIG9yZ2FuaXNtPC9rZXl3b3JkPjxrZXl3b3JkPmNoaWxkPC9rZXl3b3Jk
PjxrZXl3b3JkPmNsaW5pY2FsIGFydGljbGU8L2tleXdvcmQ+PGtleXdvcmQ+Y29tcGFyYXRpdmUg
c3R1ZHk8L2tleXdvcmQ+PGtleXdvcmQ+Y29udHJvbGxlZCBzdHVkeTwva2V5d29yZD48a2V5d29y
ZD5EZWNpc2lvbiBSZWdyZXQgU2NhbGU8L2tleXdvcmQ+PGtleXdvcmQ+Zm9sbG93IHVwPC9rZXl3
b3JkPjxrZXl3b3JkPmdlbmV0aWMgc2NyZWVuaW5nPC9rZXl3b3JkPjxrZXl3b3JkPmhldGVyb3p5
Z290ZTwva2V5d29yZD48a2V5d29yZD5oaWdoIHNjaG9vbDwva2V5d29yZD48a2V5d29yZD5odW1h
bjwva2V5d29yZD48a2V5d29yZD5KZXc8L2tleXdvcmQ+PGtleXdvcmQ+bWVtb3J5PC9rZXl3b3Jk
PjxrZXl3b3JkPmFzc2Vzc21lbnQgb2YgaHVtYW5zPC9rZXl3b3JkPjxrZXl3b3JkPm91dGNvbWUg
YXNzZXNzbWVudDwva2V5d29yZD48a2V5d29yZD5wYXRpZW50IGF0dGl0dWRlPC9rZXl3b3JkPjxr
ZXl3b3JkPnBhdGllbnQgZWR1Y2F0aW9uPC9rZXl3b3JkPjxrZXl3b3JkPnBhdGllbnQgc2F0aXNm
YWN0aW9uPC9rZXl3b3JkPjxrZXl3b3JkPnByaW9yaXR5IGpvdXJuYWw8L2tleXdvcmQ+PGtleXdv
cmQ+cHN5Y2hvbG9naWNhbCBpbXBhY3Q8L2tleXdvcmQ+PGtleXdvcmQ+cXVlc3Rpb25uYWlyZTwv
a2V5d29yZD48a2V5d29yZD5yZXRyb3NwZWN0aXZlIHN0dWR5PC9rZXl3b3JkPjxrZXl3b3JkPlN0
YXRlIFRyYWl0IEFueGlldHkgSW52ZW50b3J5PC9rZXl3b3JkPjxrZXl3b3JkPlRheSBTYWNocyBk
aXNlYXNlPC9rZXl3b3JkPjwva2V5d29yZHM+PGRhdGVzPjx5ZWFyPjIwMTQ8L3llYXI+PC9kYXRl
cz48aXNibj4xODY4LTYwMDEmI3hEOzE4NjgtMzEwWDwvaXNibj48d29yay10eXBlPkFydGljbGU8
L3dvcmstdHlwZT48dXJscz48cmVsYXRlZC11cmxzPjx1cmw+aHR0cHM6Ly93d3cuZW1iYXNlLmNv
bS9zZWFyY2gvcmVzdWx0cz9zdWJhY3Rpb249dmlld3JlY29yZCZhbXA7aWQ9TDM3MjkxOTQxOSZh
bXA7ZnJvbT1leHBvcnQ8L3VybD48dXJsPmh0dHA6Ly9keC5kb2kub3JnLzEwLjEwMDcvczEyNjg3
LTAxMy0wMTYzLXo8L3VybD48dXJsPmh0dHBzOi8vd3d3Lm5jYmkubmxtLm5paC5nb3YvcG1jL2Fy
dGljbGVzL1BNQzM5NTU0NTYvcGRmLzEyNjg3XzIwMTNfQXJ0aWNsZV8xNjMucGRmPC91cmw+PC9y
ZWxhdGVkLXVybHM+PC91cmxzPjxlbGVjdHJvbmljLXJlc291cmNlLW51bT4xMC4xMDA3L3MxMjY4
Ny0wMTMtMDE2My16PC9lbGVjdHJvbmljLXJlc291cmNlLW51bT48cmVtb3RlLWRhdGFiYXNlLW5h
bWU+RW1iYXNlPC9yZW1vdGUtZGF0YWJhc2UtbmFtZT48bGFuZ3VhZ2U+RW5nbGlzaDwvbGFuZ3Vh
Z2U+PC9yZWNvcmQ+PC9DaXRlPjxDaXRlPjxBdXRob3I+SEdTQTwvQXV0aG9yPjxZZWFyPjIwMTU8
L1llYXI+PFJlY051bT40PC9SZWNOdW0+PHJlY29yZD48cmVjLW51bWJlcj40PC9yZWMtbnVtYmVy
Pjxmb3JlaWduLWtleXM+PGtleSBhcHA9IkVOIiBkYi1pZD0idHZkMngyYWVwcnA5MHRlMjJlb3g5
dHZ4ZmUyYTB4djB0ZGZzIiB0aW1lc3RhbXA9IjE2MjMzNzMxNTciPjQ8L2tleT48L2ZvcmVpZ24t
a2V5cz48cmVmLXR5cGUgbmFtZT0iUmVwb3J0Ij4yNzwvcmVmLXR5cGU+PGNvbnRyaWJ1dG9ycz48
YXV0aG9ycz48YXV0aG9yPkhHU0E8L2F1dGhvcj48L2F1dGhvcnM+PHNlY29uZGFyeS1hdXRob3Jz
PjxhdXRob3I+Sm9pbnQgSHVtYW4gR2VuZXRpY3MgU29jaWV0eSAgb2YgIEF1c3RyYWxpYSw8L2F1
dGhvcj48YXV0aG9yPlJveWFsICBBdXN0cmFsaWFuICBhbmQgIE5ldyAgWmVhbGFuZCAgQ29sbGVn
ZSAgb2YgIE9ic3RldHJpY2lhbnMgIGFuZCAgR3luYWVjb2xvZ2lzdHMgUHJlbmF0YWwgRGlhZ25v
c2lzIGFuZCBTY3JlZW5pbmcgQ29tbWl0dGVlLDwvYXV0aG9yPjwvc2Vjb25kYXJ5LWF1dGhvcnM+
PHRlcnRpYXJ5LWF1dGhvcnM+PGF1dGhvcj5IdW1hbiBHZW5ldGljcyBTb2NpZXR5IG9mIEF1c3Ry
YWxhc2lhPC9hdXRob3I+PC90ZXJ0aWFyeS1hdXRob3JzPjwvY29udHJpYnV0b3JzPjx0aXRsZXM+
PHRpdGxlPkFzaGtlbmF6aSBKZXdpc2ggUG9wdWxhdGlvbiBTY3JlZW5pbmc8L3RpdGxlPjwvdGl0
bGVzPjxkYXRlcz48eWVhcj4yMDE1PC95ZWFyPjwvZGF0ZXM+PHB1Yi1sb2NhdGlvbj5BbGV4YW5k
cmlhLCBOU1c8L3B1Yi1sb2NhdGlvbj48dXJscz48cmVsYXRlZC11cmxzPjx1cmw+aHR0cHM6Ly93
d3cuaGdzYS5vcmcuYXUvZG9jdW1lbnRzL2l0ZW0vNjA5MjwvdXJsPjwvcmVsYXRlZC11cmxzPjwv
dXJscz48L3JlY29yZD48L0NpdGU+PENpdGU+PEF1dGhvcj5MZXc8L0F1dGhvcj48WWVhcj4yMDE1
PC9ZZWFyPjxSZWNOdW0+NzA8L1JlY051bT48SURUZXh0PjI1NjUzNTUwPC9JRFRleHQ+PHJlY29y
ZD48cmVjLW51bWJlcj43MDwvcmVjLW51bWJlcj48Zm9yZWlnbi1rZXlzPjxrZXkgYXBwPSJFTiIg
ZGItaWQ9InR2ZDJ4MmFlcHJwOTB0ZTIyZW94OXR2eGZlMmEweHYwdGRmcyIgdGltZXN0YW1wPSIx
NjIzMzczMTYwIj43MDwva2V5PjwvZm9yZWlnbi1rZXlzPjxyZWYtdHlwZSBuYW1lPSJKb3VybmFs
IEFydGljbGUiPjE3PC9yZWYtdHlwZT48Y29udHJpYnV0b3JzPjxhdXRob3JzPjxhdXRob3I+TGV3
LCBSLiBNLjwvYXV0aG9yPjxhdXRob3I+QnVybmV0dCwgTC48L2F1dGhvcj48YXV0aG9yPlByb29z
LCBBLiBMLjwvYXV0aG9yPjxhdXRob3I+RGVsYXR5Y2tpLCBNLiBCLjwvYXV0aG9yPjwvYXV0aG9y
cz48L2NvbnRyaWJ1dG9ycz48YXV0aC1hZGRyZXNzPkRlcGFydG1lbnQgb2YgT2JzdGV0cmljcyBh
bmQgR3luZWNvbG9neSwgUUVJSSBSZXNlYXJjaCBJbnN0aXR1dGUgZm9yIE1vdGhlcnMgYW5kIElu
ZmFudHMsIFRoZSBVbml2ZXJzaXR5IG9mIFN5ZG5leSwgQXVzdHJhbGlhIDsgRGVwYXJ0bWVudCBv
ZiBPYnN0ZXRyaWNzIGFuZCBHeW5hZWNvbG9neSwgRGVudGlzdHJ5IGFuZCBIZWFsdGggU2NpZW5j
ZXMsIEZhY3VsdHkgb2YgTWVkaWNpbmUsIFRoZSBVbml2ZXJzaXR5IG9mIE1lbGJvdXJuZSwgTWVs
Ym91cm5lLCBBdXN0cmFsaWEuJiN4RDtOU1cgSGVhbHRoIFBhdGhvbG9neSBOb3J0aCwgUm95YWwg
Tm9ydGggU2hvcmUgSG9zcGl0YWwsIFN0IExlb25hcmRzLCBBdXN0cmFsaWEgOyBTRUFMUywgUHJp
bmNlIG9mIFdhbGVzIEhvc3BpdGFsLCBSYW5kd2ljaywgQXVzdHJhbGlhIDsgU3lkbmV5IE1lZGlj
YWwgU2Nob29sLU5vcnRoZXJuLCBSb3lhbCBOb3J0aCBTaG9yZSBIb3NwaXRhbCBFMjUsIFVuaXZl
cnNpdHkgb2YgU3lkbmV5LCBTeWRuZXksIEF1c3RyYWxpYS4mI3hEO05TVyBIZWFsdGggUGF0aG9s
b2d5IE5vcnRoLCBSb3lhbCBOb3J0aCBTaG9yZSBIb3NwaXRhbCwgU3QgTGVvbmFyZHMsIEF1c3Ry
YWxpYS4mI3hEO0RlcGFydG1lbnQgb2YgQ2xpbmljYWwgR2VuZXRpY3MsIEF1c3RpbiBIZWFsdGgs
IEhlaWRlbGJlcmcsIEF1c3RyYWxpYSA7IEJydWNlIExlZnJveSBDZW50cmUgZm9yIEdlbmV0aWMg
SGVhbHRoIFJlc2VhcmNoLCBNdXJkb2NoIENoaWxkcmVucyBSZXNlYXJjaCBJbnN0aXR1dGUsIFBh
cmt2aWxsZSwgQXVzdHJhbGlhLjwvYXV0aC1hZGRyZXNzPjx0aXRsZXM+PHRpdGxlPlRheS1TYWNo
cyBkaXNlYXNlOiBjdXJyZW50IHBlcnNwZWN0aXZlcyBmcm9tIEF1c3RyYWxpYTwvdGl0bGU+PHNl
Y29uZGFyeS10aXRsZT5BcHBsIENsaW4gR2VuZXQ8L3NlY29uZGFyeS10aXRsZT48L3RpdGxlcz48
cGVyaW9kaWNhbD48ZnVsbC10aXRsZT5BcHBsIENsaW4gR2VuZXQ8L2Z1bGwtdGl0bGU+PC9wZXJp
b2RpY2FsPjxwYWdlcz4xOS0yNTwvcGFnZXM+PHZvbHVtZT44PC92b2x1bWU+PGVkaXRpb24+MjAx
NS8wMi8wNjwvZWRpdGlvbj48a2V5d29yZHM+PGtleXdvcmQ+QXVzdHJhbGlhPC9rZXl3b3JkPjxr
ZXl3b3JkPlRheS1TYWNocyBkaXNlYXNlPC9rZXl3b3JkPjxrZXl3b3JkPmdlbmV0aWMgc2NyZWVu
aW5nPC9rZXl3b3JkPjwva2V5d29yZHM+PGRhdGVzPjx5ZWFyPjIwMTU8L3llYXI+PC9kYXRlcz48
aXNibj4xMTc4LTcwNFggKFByaW50KSYjeEQ7MTE3OC03MDR4PC9pc2JuPjxhY2Nlc3Npb24tbnVt
PjI1NjUzNTUwPC9hY2Nlc3Npb24tbnVtPjx1cmxzPjxyZWxhdGVkLXVybHM+PHVybD5odHRwczov
L3d3dy5kb3ZlcHJlc3MuY29tL2Zyb250X2VuZC9jcl9kYXRhL2NhY2hlL3BkZi9kb3dubG9hZF8x
NTkyOTc5Mjg1XzVlZjJlZjU1MjAzMTQvVEFDRy00OTYyOC10YXktc2FjaHMtZGlzZWFzZS0tLWN1
cnJlbnQtcGVyc3BlY3RpdmVzLWZyb20tYXVzdHJhbGlhXzAxMjExNS5wZGY8L3VybD48L3JlbGF0
ZWQtdXJscz48L3VybHM+PGN1c3RvbTI+UE1DNDMwOTc3NDwvY3VzdG9tMj48ZWxlY3Ryb25pYy1y
ZXNvdXJjZS1udW0+MTAuMjE0Ny90YWNnLlM0OTYyODwvZWxlY3Ryb25pYy1yZXNvdXJjZS1udW0+
PHJlbW90ZS1kYXRhYmFzZS1wcm92aWRlcj5OTE08L3JlbW90ZS1kYXRhYmFzZS1wcm92aWRlcj48
bGFuZ3VhZ2U+ZW5nPC9sYW5ndWFnZT48L3JlY29yZD48L0NpdGU+PENpdGU+PEF1dGhvcj5MZXc8
L0F1dGhvcj48WWVhcj4yMDEyPC9ZZWFyPjxSZWNOdW0+MjQ8L1JlY051bT48SURUZXh0PjIzMjMw
OTM4PC9JRFRleHQ+PHJlY29yZD48cmVjLW51bWJlcj4yNDwvcmVjLW51bWJlcj48Zm9yZWlnbi1r
ZXlzPjxrZXkgYXBwPSJFTiIgZGItaWQ9InR2ZDJ4MmFlcHJwOTB0ZTIyZW94OXR2eGZlMmEweHYw
dGRmcyIgdGltZXN0YW1wPSIxNjIzMzczMTU4Ij4yNDwva2V5PjwvZm9yZWlnbi1rZXlzPjxyZWYt
dHlwZSBuYW1lPSJKb3VybmFsIEFydGljbGUiPjE3PC9yZWYtdHlwZT48Y29udHJpYnV0b3JzPjxh
dXRob3JzPjxhdXRob3I+TGV3LCBSLiBNLjwvYXV0aG9yPjxhdXRob3I+UHJvb3MsIEEuIEwuPC9h
dXRob3I+PGF1dGhvcj5CdXJuZXR0LCBMLjwvYXV0aG9yPjxhdXRob3I+RGVsYXR5Y2tpLCBNLjwv
YXV0aG9yPjxhdXRob3I+QmFua2llciwgQS48L2F1dGhvcj48YXV0aG9yPkZpZXR6LCBNLiBKLjwv
YXV0aG9yPjwvYXV0aG9ycz48L2NvbnRyaWJ1dG9ycz48YXV0aC1hZGRyZXNzPkRlcGFydG1lbnQg
b2YgT2JzdGV0cmljcywgR3luYWVjb2xvZ3kgYW5kIE5lb25hdG9sb2d5LCBVbml2ZXJzaXR5IG9m
IFN5ZG5leSwgYW5kIFBhY2lmaWMgTGFib3JhdG9yeSBNZWRpY2luZSBTZXJ2aWNlcywgUGF0aG9s
b2d5IE5vcnRoLCBOU1cgSGVhbHRoIFBhdGhvbG9neSwgUm95YWwgTm9ydGggU2hvcmUgSG9zcGl0
YWwsIFN5ZG5leSwgTlNXLCBBdXN0cmFsaWEuIHJsZXcyMDY0QHVuaS5zeWRuZXkuZWR1LmF1PC9h
dXRoLWFkZHJlc3M+PHRpdGxlcz48dGl0bGU+VGF5IFNhY2hzIGRpc2Vhc2UgaW4gQXVzdHJhbGlh
OiByZWR1Y2VkIGRpc2Vhc2UgaW5jaWRlbmNlIGRlc3BpdGUgc3RhYmxlIGNhcnJpZXIgZnJlcXVl
bmN5IGluIEF1c3RyYWxpYW4gSmV3czwvdGl0bGU+PHNlY29uZGFyeS10aXRsZT5NZWQgSiBBdXN0
PC9zZWNvbmRhcnktdGl0bGU+PC90aXRsZXM+PHBlcmlvZGljYWw+PGZ1bGwtdGl0bGU+TWVkIEog
QXVzdDwvZnVsbC10aXRsZT48L3BlcmlvZGljYWw+PHBhZ2VzPjY1Mi00PC9wYWdlcz48dm9sdW1l
PjE5Nzwvdm9sdW1lPjxudW1iZXI+MTE8L251bWJlcj48ZWRpdGlvbj4yMDEyLzEyLzEzPC9lZGl0
aW9uPjxrZXl3b3Jkcz48a2V5d29yZD5BZG9sZXNjZW50PC9rZXl3b3JkPjxrZXl3b3JkPkFkdWx0
PC9rZXl3b3JkPjxrZXl3b3JkPkF1c3RyYWxpYS9lcGlkZW1pb2xvZ3k8L2tleXdvcmQ+PGtleXdv
cmQ+RmVtYWxlPC9rZXl3b3JkPjxrZXl3b3JkPkdlbmV0aWMgQ2FycmllciBTY3JlZW5pbmc8L2tl
eXdvcmQ+PGtleXdvcmQ+R2VuZXRpYyBUZXN0aW5nPC9rZXl3b3JkPjxrZXl3b3JkPipIZXRlcm96
eWdvdGU8L2tleXdvcmQ+PGtleXdvcmQ+SHVtYW5zPC9rZXl3b3JkPjxrZXl3b3JkPkluY2lkZW5j
ZTwva2V5d29yZD48a2V5d29yZD5KZXdzLypnZW5ldGljczwva2V5d29yZD48a2V5d29yZD5QcmVj
b25jZXB0aW9uIENhcmU8L2tleXdvcmQ+PGtleXdvcmQ+UHJlZ25hbmN5PC9rZXl3b3JkPjxrZXl3
b3JkPlByZW5hdGFsIERpYWdub3Npczwva2V5d29yZD48a2V5d29yZD5SZXRyb3NwZWN0aXZlIFN0
dWRpZXM8L2tleXdvcmQ+PGtleXdvcmQ+U2Nob29sczwva2V5d29yZD48a2V5d29yZD5TdXJ2ZXlz
IGFuZCBRdWVzdGlvbm5haXJlczwva2V5d29yZD48a2V5d29yZD5UYXktU2FjaHMgRGlzZWFzZS8q
ZGlhZ25vc2lzLyplcGlkZW1pb2xvZ3kvZ2VuZXRpY3M8L2tleXdvcmQ+PGtleXdvcmQ+WW91bmcg
QWR1bHQ8L2tleXdvcmQ+PC9rZXl3b3Jkcz48ZGF0ZXM+PHllYXI+MjAxMjwveWVhcj48cHViLWRh
dGVzPjxkYXRlPkRlYyAxMDwvZGF0ZT48L3B1Yi1kYXRlcz48L2RhdGVzPjxpc2JuPjAwMjUtNzI5
eDwvaXNibj48YWNjZXNzaW9uLW51bT4yMzIzMDkzODwvYWNjZXNzaW9uLW51bT48dXJscz48cmVs
YXRlZC11cmxzPjx1cmw+aHR0cHM6Ly9vbmxpbmVsaWJyYXJ5LndpbGV5LmNvbS9kb2kvYWJzLzEw
LjU2OTQvbWphMTIuMTEwMTA8L3VybD48L3JlbGF0ZWQtdXJscz48L3VybHM+PGVsZWN0cm9uaWMt
cmVzb3VyY2UtbnVtPjEwLjU2OTQvbWphMTIuMTEwMTA8L2VsZWN0cm9uaWMtcmVzb3VyY2UtbnVt
PjxyZW1vdGUtZGF0YWJhc2UtcHJvdmlkZXI+TkxNPC9yZW1vdGUtZGF0YWJhc2UtcHJvdmlkZXI+
PGxhbmd1YWdlPmVuZzwvbGFuZ3VhZ2U+PC9yZWNvcmQ+PC9DaXRlPjwvRW5kTm90ZT5=
</w:fldData>
        </w:fldChar>
      </w:r>
      <w:r>
        <w:instrText xml:space="preserve"> ADDIN EN.CITE </w:instrText>
      </w:r>
      <w:r>
        <w:fldChar w:fldCharType="begin">
          <w:fldData xml:space="preserve">PEVuZE5vdGU+PENpdGU+PEF1dGhvcj5DdXJkPC9BdXRob3I+PFllYXI+MjAxNDwvWWVhcj48UmVj
TnVtPjI2PC9SZWNOdW0+PERpc3BsYXlUZXh0PihDdXJkIGV0IGFsLiwgMjAxNDsgSEdTQSwgMjAx
NTsgTGV3LCBCdXJuZXR0LCBQcm9vcywgJmFtcDsgRGVsYXR5Y2tpLCAyMDE1OyBMZXcgZXQgYWwu
LCAyMDEyKTwvRGlzcGxheVRleHQ+PHJlY29yZD48cmVjLW51bWJlcj4yNjwvcmVjLW51bWJlcj48
Zm9yZWlnbi1rZXlzPjxrZXkgYXBwPSJFTiIgZGItaWQ9InR2ZDJ4MmFlcHJwOTB0ZTIyZW94OXR2
eGZlMmEweHYwdGRmcyIgdGltZXN0YW1wPSIxNjIzMzczMTU4Ij4yNjwva2V5PjwvZm9yZWlnbi1r
ZXlzPjxyZWYtdHlwZSBuYW1lPSJKb3VybmFsIEFydGljbGUiPjE3PC9yZWYtdHlwZT48Y29udHJp
YnV0b3JzPjxhdXRob3JzPjxhdXRob3I+Q3VyZCwgSC48L2F1dGhvcj48YXV0aG9yPkxld2lzLCBT
LjwvYXV0aG9yPjxhdXRob3I+TWFjY2lvY2NhLCBJLjwvYXV0aG9yPjxhdXRob3I+U2FoaGFyLCBN
LjwvYXV0aG9yPjxhdXRob3I+UGV0cm91LCBWLjwvYXV0aG9yPjxhdXRob3I+QmFua2llciwgQS48
L2F1dGhvcj48YXV0aG9yPkxpZWJlcm1hbiwgUy48L2F1dGhvcj48YXV0aG9yPkxldnktTGFoYWQs
IEUuPC9hdXRob3I+PGF1dGhvcj5EZWxhdHlja2ksIE0uIEIuPC9hdXRob3I+PC9hdXRob3JzPjwv
Y29udHJpYnV0b3JzPjxhdXRoLWFkZHJlc3M+TS5CLiBEZWxhdHlja2ksIE11cmRvY2ggQ2hpbGRy
ZW5zIFJlc2VhcmNoIEluc3RpdHV0ZSwgRmxlbWluZ3RvbiBSb2FkLCBNZWxib3VybmUsIFZJQyAz
MDUyLCBBdXN0cmFsaWE8L2F1dGgtYWRkcmVzcz48dGl0bGVzPjx0aXRsZT5IaWdoIHNjaG9vbCBU
YXktU2FjaHMgZGlzZWFzZSBjYXJyaWVyIHNjcmVlbmluZzogNSBUbyAxMS15ZWFyIGZvbGxvdy11
cDwvdGl0bGU+PHNlY29uZGFyeS10aXRsZT5Kb3VybmFsIG9mIENvbW11bml0eSBHZW5ldGljczwv
c2Vjb25kYXJ5LXRpdGxlPjwvdGl0bGVzPjxwZXJpb2RpY2FsPjxmdWxsLXRpdGxlPkpvdXJuYWwg
b2YgQ29tbXVuaXR5IEdlbmV0aWNzPC9mdWxsLXRpdGxlPjwvcGVyaW9kaWNhbD48cGFnZXM+MTM5
LTE0NjwvcGFnZXM+PHZvbHVtZT41PC92b2x1bWU+PG51bWJlcj4yPC9udW1iZXI+PGtleXdvcmRz
PjxrZXl3b3JkPmFkdWx0PC9rZXl3b3JkPjxrZXl3b3JkPmFueGlldHk8L2tleXdvcmQ+PGtleXdv
cmQ+YXJ0aWNsZTwva2V5d29yZD48a2V5d29yZD5Bc2hrZW5hemkgSmV3aXNoPC9rZXl3b3JkPjxr
ZXl3b3JkPmF0dGl0dWRlIHRvIGlsbG5lc3M8L2tleXdvcmQ+PGtleXdvcmQ+QXVzdHJhbGlhPC9r
ZXl3b3JkPjxrZXl3b3JkPmJpb2xvZ2ljYWwgcGhlbm9tZW5hIGFuZCBmdW5jdGlvbnMgY29uY2Vy
bmluZyB0aGUgZW50aXJlIG9yZ2FuaXNtPC9rZXl3b3JkPjxrZXl3b3JkPmNoaWxkPC9rZXl3b3Jk
PjxrZXl3b3JkPmNsaW5pY2FsIGFydGljbGU8L2tleXdvcmQ+PGtleXdvcmQ+Y29tcGFyYXRpdmUg
c3R1ZHk8L2tleXdvcmQ+PGtleXdvcmQ+Y29udHJvbGxlZCBzdHVkeTwva2V5d29yZD48a2V5d29y
ZD5EZWNpc2lvbiBSZWdyZXQgU2NhbGU8L2tleXdvcmQ+PGtleXdvcmQ+Zm9sbG93IHVwPC9rZXl3
b3JkPjxrZXl3b3JkPmdlbmV0aWMgc2NyZWVuaW5nPC9rZXl3b3JkPjxrZXl3b3JkPmhldGVyb3p5
Z290ZTwva2V5d29yZD48a2V5d29yZD5oaWdoIHNjaG9vbDwva2V5d29yZD48a2V5d29yZD5odW1h
bjwva2V5d29yZD48a2V5d29yZD5KZXc8L2tleXdvcmQ+PGtleXdvcmQ+bWVtb3J5PC9rZXl3b3Jk
PjxrZXl3b3JkPmFzc2Vzc21lbnQgb2YgaHVtYW5zPC9rZXl3b3JkPjxrZXl3b3JkPm91dGNvbWUg
YXNzZXNzbWVudDwva2V5d29yZD48a2V5d29yZD5wYXRpZW50IGF0dGl0dWRlPC9rZXl3b3JkPjxr
ZXl3b3JkPnBhdGllbnQgZWR1Y2F0aW9uPC9rZXl3b3JkPjxrZXl3b3JkPnBhdGllbnQgc2F0aXNm
YWN0aW9uPC9rZXl3b3JkPjxrZXl3b3JkPnByaW9yaXR5IGpvdXJuYWw8L2tleXdvcmQ+PGtleXdv
cmQ+cHN5Y2hvbG9naWNhbCBpbXBhY3Q8L2tleXdvcmQ+PGtleXdvcmQ+cXVlc3Rpb25uYWlyZTwv
a2V5d29yZD48a2V5d29yZD5yZXRyb3NwZWN0aXZlIHN0dWR5PC9rZXl3b3JkPjxrZXl3b3JkPlN0
YXRlIFRyYWl0IEFueGlldHkgSW52ZW50b3J5PC9rZXl3b3JkPjxrZXl3b3JkPlRheSBTYWNocyBk
aXNlYXNlPC9rZXl3b3JkPjwva2V5d29yZHM+PGRhdGVzPjx5ZWFyPjIwMTQ8L3llYXI+PC9kYXRl
cz48aXNibj4xODY4LTYwMDEmI3hEOzE4NjgtMzEwWDwvaXNibj48d29yay10eXBlPkFydGljbGU8
L3dvcmstdHlwZT48dXJscz48cmVsYXRlZC11cmxzPjx1cmw+aHR0cHM6Ly93d3cuZW1iYXNlLmNv
bS9zZWFyY2gvcmVzdWx0cz9zdWJhY3Rpb249dmlld3JlY29yZCZhbXA7aWQ9TDM3MjkxOTQxOSZh
bXA7ZnJvbT1leHBvcnQ8L3VybD48dXJsPmh0dHA6Ly9keC5kb2kub3JnLzEwLjEwMDcvczEyNjg3
LTAxMy0wMTYzLXo8L3VybD48dXJsPmh0dHBzOi8vd3d3Lm5jYmkubmxtLm5paC5nb3YvcG1jL2Fy
dGljbGVzL1BNQzM5NTU0NTYvcGRmLzEyNjg3XzIwMTNfQXJ0aWNsZV8xNjMucGRmPC91cmw+PC9y
ZWxhdGVkLXVybHM+PC91cmxzPjxlbGVjdHJvbmljLXJlc291cmNlLW51bT4xMC4xMDA3L3MxMjY4
Ny0wMTMtMDE2My16PC9lbGVjdHJvbmljLXJlc291cmNlLW51bT48cmVtb3RlLWRhdGFiYXNlLW5h
bWU+RW1iYXNlPC9yZW1vdGUtZGF0YWJhc2UtbmFtZT48bGFuZ3VhZ2U+RW5nbGlzaDwvbGFuZ3Vh
Z2U+PC9yZWNvcmQ+PC9DaXRlPjxDaXRlPjxBdXRob3I+SEdTQTwvQXV0aG9yPjxZZWFyPjIwMTU8
L1llYXI+PFJlY051bT40PC9SZWNOdW0+PHJlY29yZD48cmVjLW51bWJlcj40PC9yZWMtbnVtYmVy
Pjxmb3JlaWduLWtleXM+PGtleSBhcHA9IkVOIiBkYi1pZD0idHZkMngyYWVwcnA5MHRlMjJlb3g5
dHZ4ZmUyYTB4djB0ZGZzIiB0aW1lc3RhbXA9IjE2MjMzNzMxNTciPjQ8L2tleT48L2ZvcmVpZ24t
a2V5cz48cmVmLXR5cGUgbmFtZT0iUmVwb3J0Ij4yNzwvcmVmLXR5cGU+PGNvbnRyaWJ1dG9ycz48
YXV0aG9ycz48YXV0aG9yPkhHU0E8L2F1dGhvcj48L2F1dGhvcnM+PHNlY29uZGFyeS1hdXRob3Jz
PjxhdXRob3I+Sm9pbnQgSHVtYW4gR2VuZXRpY3MgU29jaWV0eSAgb2YgIEF1c3RyYWxpYSw8L2F1
dGhvcj48YXV0aG9yPlJveWFsICBBdXN0cmFsaWFuICBhbmQgIE5ldyAgWmVhbGFuZCAgQ29sbGVn
ZSAgb2YgIE9ic3RldHJpY2lhbnMgIGFuZCAgR3luYWVjb2xvZ2lzdHMgUHJlbmF0YWwgRGlhZ25v
c2lzIGFuZCBTY3JlZW5pbmcgQ29tbWl0dGVlLDwvYXV0aG9yPjwvc2Vjb25kYXJ5LWF1dGhvcnM+
PHRlcnRpYXJ5LWF1dGhvcnM+PGF1dGhvcj5IdW1hbiBHZW5ldGljcyBTb2NpZXR5IG9mIEF1c3Ry
YWxhc2lhPC9hdXRob3I+PC90ZXJ0aWFyeS1hdXRob3JzPjwvY29udHJpYnV0b3JzPjx0aXRsZXM+
PHRpdGxlPkFzaGtlbmF6aSBKZXdpc2ggUG9wdWxhdGlvbiBTY3JlZW5pbmc8L3RpdGxlPjwvdGl0
bGVzPjxkYXRlcz48eWVhcj4yMDE1PC95ZWFyPjwvZGF0ZXM+PHB1Yi1sb2NhdGlvbj5BbGV4YW5k
cmlhLCBOU1c8L3B1Yi1sb2NhdGlvbj48dXJscz48cmVsYXRlZC11cmxzPjx1cmw+aHR0cHM6Ly93
d3cuaGdzYS5vcmcuYXUvZG9jdW1lbnRzL2l0ZW0vNjA5MjwvdXJsPjwvcmVsYXRlZC11cmxzPjwv
dXJscz48L3JlY29yZD48L0NpdGU+PENpdGU+PEF1dGhvcj5MZXc8L0F1dGhvcj48WWVhcj4yMDE1
PC9ZZWFyPjxSZWNOdW0+NzA8L1JlY051bT48SURUZXh0PjI1NjUzNTUwPC9JRFRleHQ+PHJlY29y
ZD48cmVjLW51bWJlcj43MDwvcmVjLW51bWJlcj48Zm9yZWlnbi1rZXlzPjxrZXkgYXBwPSJFTiIg
ZGItaWQ9InR2ZDJ4MmFlcHJwOTB0ZTIyZW94OXR2eGZlMmEweHYwdGRmcyIgdGltZXN0YW1wPSIx
NjIzMzczMTYwIj43MDwva2V5PjwvZm9yZWlnbi1rZXlzPjxyZWYtdHlwZSBuYW1lPSJKb3VybmFs
IEFydGljbGUiPjE3PC9yZWYtdHlwZT48Y29udHJpYnV0b3JzPjxhdXRob3JzPjxhdXRob3I+TGV3
LCBSLiBNLjwvYXV0aG9yPjxhdXRob3I+QnVybmV0dCwgTC48L2F1dGhvcj48YXV0aG9yPlByb29z
LCBBLiBMLjwvYXV0aG9yPjxhdXRob3I+RGVsYXR5Y2tpLCBNLiBCLjwvYXV0aG9yPjwvYXV0aG9y
cz48L2NvbnRyaWJ1dG9ycz48YXV0aC1hZGRyZXNzPkRlcGFydG1lbnQgb2YgT2JzdGV0cmljcyBh
bmQgR3luZWNvbG9neSwgUUVJSSBSZXNlYXJjaCBJbnN0aXR1dGUgZm9yIE1vdGhlcnMgYW5kIElu
ZmFudHMsIFRoZSBVbml2ZXJzaXR5IG9mIFN5ZG5leSwgQXVzdHJhbGlhIDsgRGVwYXJ0bWVudCBv
ZiBPYnN0ZXRyaWNzIGFuZCBHeW5hZWNvbG9neSwgRGVudGlzdHJ5IGFuZCBIZWFsdGggU2NpZW5j
ZXMsIEZhY3VsdHkgb2YgTWVkaWNpbmUsIFRoZSBVbml2ZXJzaXR5IG9mIE1lbGJvdXJuZSwgTWVs
Ym91cm5lLCBBdXN0cmFsaWEuJiN4RDtOU1cgSGVhbHRoIFBhdGhvbG9neSBOb3J0aCwgUm95YWwg
Tm9ydGggU2hvcmUgSG9zcGl0YWwsIFN0IExlb25hcmRzLCBBdXN0cmFsaWEgOyBTRUFMUywgUHJp
bmNlIG9mIFdhbGVzIEhvc3BpdGFsLCBSYW5kd2ljaywgQXVzdHJhbGlhIDsgU3lkbmV5IE1lZGlj
YWwgU2Nob29sLU5vcnRoZXJuLCBSb3lhbCBOb3J0aCBTaG9yZSBIb3NwaXRhbCBFMjUsIFVuaXZl
cnNpdHkgb2YgU3lkbmV5LCBTeWRuZXksIEF1c3RyYWxpYS4mI3hEO05TVyBIZWFsdGggUGF0aG9s
b2d5IE5vcnRoLCBSb3lhbCBOb3J0aCBTaG9yZSBIb3NwaXRhbCwgU3QgTGVvbmFyZHMsIEF1c3Ry
YWxpYS4mI3hEO0RlcGFydG1lbnQgb2YgQ2xpbmljYWwgR2VuZXRpY3MsIEF1c3RpbiBIZWFsdGgs
IEhlaWRlbGJlcmcsIEF1c3RyYWxpYSA7IEJydWNlIExlZnJveSBDZW50cmUgZm9yIEdlbmV0aWMg
SGVhbHRoIFJlc2VhcmNoLCBNdXJkb2NoIENoaWxkcmVucyBSZXNlYXJjaCBJbnN0aXR1dGUsIFBh
cmt2aWxsZSwgQXVzdHJhbGlhLjwvYXV0aC1hZGRyZXNzPjx0aXRsZXM+PHRpdGxlPlRheS1TYWNo
cyBkaXNlYXNlOiBjdXJyZW50IHBlcnNwZWN0aXZlcyBmcm9tIEF1c3RyYWxpYTwvdGl0bGU+PHNl
Y29uZGFyeS10aXRsZT5BcHBsIENsaW4gR2VuZXQ8L3NlY29uZGFyeS10aXRsZT48L3RpdGxlcz48
cGVyaW9kaWNhbD48ZnVsbC10aXRsZT5BcHBsIENsaW4gR2VuZXQ8L2Z1bGwtdGl0bGU+PC9wZXJp
b2RpY2FsPjxwYWdlcz4xOS0yNTwvcGFnZXM+PHZvbHVtZT44PC92b2x1bWU+PGVkaXRpb24+MjAx
NS8wMi8wNjwvZWRpdGlvbj48a2V5d29yZHM+PGtleXdvcmQ+QXVzdHJhbGlhPC9rZXl3b3JkPjxr
ZXl3b3JkPlRheS1TYWNocyBkaXNlYXNlPC9rZXl3b3JkPjxrZXl3b3JkPmdlbmV0aWMgc2NyZWVu
aW5nPC9rZXl3b3JkPjwva2V5d29yZHM+PGRhdGVzPjx5ZWFyPjIwMTU8L3llYXI+PC9kYXRlcz48
aXNibj4xMTc4LTcwNFggKFByaW50KSYjeEQ7MTE3OC03MDR4PC9pc2JuPjxhY2Nlc3Npb24tbnVt
PjI1NjUzNTUwPC9hY2Nlc3Npb24tbnVtPjx1cmxzPjxyZWxhdGVkLXVybHM+PHVybD5odHRwczov
L3d3dy5kb3ZlcHJlc3MuY29tL2Zyb250X2VuZC9jcl9kYXRhL2NhY2hlL3BkZi9kb3dubG9hZF8x
NTkyOTc5Mjg1XzVlZjJlZjU1MjAzMTQvVEFDRy00OTYyOC10YXktc2FjaHMtZGlzZWFzZS0tLWN1
cnJlbnQtcGVyc3BlY3RpdmVzLWZyb20tYXVzdHJhbGlhXzAxMjExNS5wZGY8L3VybD48L3JlbGF0
ZWQtdXJscz48L3VybHM+PGN1c3RvbTI+UE1DNDMwOTc3NDwvY3VzdG9tMj48ZWxlY3Ryb25pYy1y
ZXNvdXJjZS1udW0+MTAuMjE0Ny90YWNnLlM0OTYyODwvZWxlY3Ryb25pYy1yZXNvdXJjZS1udW0+
PHJlbW90ZS1kYXRhYmFzZS1wcm92aWRlcj5OTE08L3JlbW90ZS1kYXRhYmFzZS1wcm92aWRlcj48
bGFuZ3VhZ2U+ZW5nPC9sYW5ndWFnZT48L3JlY29yZD48L0NpdGU+PENpdGU+PEF1dGhvcj5MZXc8
L0F1dGhvcj48WWVhcj4yMDEyPC9ZZWFyPjxSZWNOdW0+MjQ8L1JlY051bT48SURUZXh0PjIzMjMw
OTM4PC9JRFRleHQ+PHJlY29yZD48cmVjLW51bWJlcj4yNDwvcmVjLW51bWJlcj48Zm9yZWlnbi1r
ZXlzPjxrZXkgYXBwPSJFTiIgZGItaWQ9InR2ZDJ4MmFlcHJwOTB0ZTIyZW94OXR2eGZlMmEweHYw
dGRmcyIgdGltZXN0YW1wPSIxNjIzMzczMTU4Ij4yNDwva2V5PjwvZm9yZWlnbi1rZXlzPjxyZWYt
dHlwZSBuYW1lPSJKb3VybmFsIEFydGljbGUiPjE3PC9yZWYtdHlwZT48Y29udHJpYnV0b3JzPjxh
dXRob3JzPjxhdXRob3I+TGV3LCBSLiBNLjwvYXV0aG9yPjxhdXRob3I+UHJvb3MsIEEuIEwuPC9h
dXRob3I+PGF1dGhvcj5CdXJuZXR0LCBMLjwvYXV0aG9yPjxhdXRob3I+RGVsYXR5Y2tpLCBNLjwv
YXV0aG9yPjxhdXRob3I+QmFua2llciwgQS48L2F1dGhvcj48YXV0aG9yPkZpZXR6LCBNLiBKLjwv
YXV0aG9yPjwvYXV0aG9ycz48L2NvbnRyaWJ1dG9ycz48YXV0aC1hZGRyZXNzPkRlcGFydG1lbnQg
b2YgT2JzdGV0cmljcywgR3luYWVjb2xvZ3kgYW5kIE5lb25hdG9sb2d5LCBVbml2ZXJzaXR5IG9m
IFN5ZG5leSwgYW5kIFBhY2lmaWMgTGFib3JhdG9yeSBNZWRpY2luZSBTZXJ2aWNlcywgUGF0aG9s
b2d5IE5vcnRoLCBOU1cgSGVhbHRoIFBhdGhvbG9neSwgUm95YWwgTm9ydGggU2hvcmUgSG9zcGl0
YWwsIFN5ZG5leSwgTlNXLCBBdXN0cmFsaWEuIHJsZXcyMDY0QHVuaS5zeWRuZXkuZWR1LmF1PC9h
dXRoLWFkZHJlc3M+PHRpdGxlcz48dGl0bGU+VGF5IFNhY2hzIGRpc2Vhc2UgaW4gQXVzdHJhbGlh
OiByZWR1Y2VkIGRpc2Vhc2UgaW5jaWRlbmNlIGRlc3BpdGUgc3RhYmxlIGNhcnJpZXIgZnJlcXVl
bmN5IGluIEF1c3RyYWxpYW4gSmV3czwvdGl0bGU+PHNlY29uZGFyeS10aXRsZT5NZWQgSiBBdXN0
PC9zZWNvbmRhcnktdGl0bGU+PC90aXRsZXM+PHBlcmlvZGljYWw+PGZ1bGwtdGl0bGU+TWVkIEog
QXVzdDwvZnVsbC10aXRsZT48L3BlcmlvZGljYWw+PHBhZ2VzPjY1Mi00PC9wYWdlcz48dm9sdW1l
PjE5Nzwvdm9sdW1lPjxudW1iZXI+MTE8L251bWJlcj48ZWRpdGlvbj4yMDEyLzEyLzEzPC9lZGl0
aW9uPjxrZXl3b3Jkcz48a2V5d29yZD5BZG9sZXNjZW50PC9rZXl3b3JkPjxrZXl3b3JkPkFkdWx0
PC9rZXl3b3JkPjxrZXl3b3JkPkF1c3RyYWxpYS9lcGlkZW1pb2xvZ3k8L2tleXdvcmQ+PGtleXdv
cmQ+RmVtYWxlPC9rZXl3b3JkPjxrZXl3b3JkPkdlbmV0aWMgQ2FycmllciBTY3JlZW5pbmc8L2tl
eXdvcmQ+PGtleXdvcmQ+R2VuZXRpYyBUZXN0aW5nPC9rZXl3b3JkPjxrZXl3b3JkPipIZXRlcm96
eWdvdGU8L2tleXdvcmQ+PGtleXdvcmQ+SHVtYW5zPC9rZXl3b3JkPjxrZXl3b3JkPkluY2lkZW5j
ZTwva2V5d29yZD48a2V5d29yZD5KZXdzLypnZW5ldGljczwva2V5d29yZD48a2V5d29yZD5QcmVj
b25jZXB0aW9uIENhcmU8L2tleXdvcmQ+PGtleXdvcmQ+UHJlZ25hbmN5PC9rZXl3b3JkPjxrZXl3
b3JkPlByZW5hdGFsIERpYWdub3Npczwva2V5d29yZD48a2V5d29yZD5SZXRyb3NwZWN0aXZlIFN0
dWRpZXM8L2tleXdvcmQ+PGtleXdvcmQ+U2Nob29sczwva2V5d29yZD48a2V5d29yZD5TdXJ2ZXlz
IGFuZCBRdWVzdGlvbm5haXJlczwva2V5d29yZD48a2V5d29yZD5UYXktU2FjaHMgRGlzZWFzZS8q
ZGlhZ25vc2lzLyplcGlkZW1pb2xvZ3kvZ2VuZXRpY3M8L2tleXdvcmQ+PGtleXdvcmQ+WW91bmcg
QWR1bHQ8L2tleXdvcmQ+PC9rZXl3b3Jkcz48ZGF0ZXM+PHllYXI+MjAxMjwveWVhcj48cHViLWRh
dGVzPjxkYXRlPkRlYyAxMDwvZGF0ZT48L3B1Yi1kYXRlcz48L2RhdGVzPjxpc2JuPjAwMjUtNzI5
eDwvaXNibj48YWNjZXNzaW9uLW51bT4yMzIzMDkzODwvYWNjZXNzaW9uLW51bT48dXJscz48cmVs
YXRlZC11cmxzPjx1cmw+aHR0cHM6Ly9vbmxpbmVsaWJyYXJ5LndpbGV5LmNvbS9kb2kvYWJzLzEw
LjU2OTQvbWphMTIuMTEwMTA8L3VybD48L3JlbGF0ZWQtdXJscz48L3VybHM+PGVsZWN0cm9uaWMt
cmVzb3VyY2UtbnVtPjEwLjU2OTQvbWphMTIuMTEwMTA8L2VsZWN0cm9uaWMtcmVzb3VyY2UtbnVt
PjxyZW1vdGUtZGF0YWJhc2UtcHJvdmlkZXI+TkxNPC9yZW1vdGUtZGF0YWJhc2UtcHJvdmlkZXI+
PGxhbmd1YWdlPmVuZzwvbGFuZ3VhZ2U+PC9yZWNvcmQ+PC9DaXRlPjwvRW5kTm90ZT5=
</w:fldData>
        </w:fldChar>
      </w:r>
      <w:r>
        <w:instrText xml:space="preserve"> ADDIN EN.CITE.DATA </w:instrText>
      </w:r>
      <w:r>
        <w:fldChar w:fldCharType="end"/>
      </w:r>
      <w:r>
        <w:fldChar w:fldCharType="separate"/>
      </w:r>
      <w:r>
        <w:rPr>
          <w:noProof/>
        </w:rPr>
        <w:t>(Curd et al., 2014; HGSA, 2015; Lew, Burnett, Proos, &amp; Delatycki, 2015; Lew et al., 2012)</w:t>
      </w:r>
      <w:r>
        <w:fldChar w:fldCharType="end"/>
      </w:r>
      <w:r>
        <w:t xml:space="preserve">. The RANZCOG recommends that all women who are considering a pregnancy, or who are in early pregnancy, should be offered carrier testing for </w:t>
      </w:r>
      <w:r w:rsidRPr="0027004B">
        <w:rPr>
          <w:rStyle w:val="Emphasis"/>
        </w:rPr>
        <w:t>common</w:t>
      </w:r>
      <w:r>
        <w:t xml:space="preserve"> disorders</w:t>
      </w:r>
      <w:r w:rsidR="00791881">
        <w:t xml:space="preserve"> </w:t>
      </w:r>
      <w:r>
        <w:fldChar w:fldCharType="begin"/>
      </w:r>
      <w:r>
        <w:instrText xml:space="preserve"> ADDIN EN.CITE &lt;EndNote&gt;&lt;Cite&gt;&lt;Author&gt;RANZCOG&lt;/Author&gt;&lt;Year&gt;2019&lt;/Year&gt;&lt;RecNum&gt;7&lt;/RecNum&gt;&lt;DisplayText&gt;(RANZCOG, 2019)&lt;/DisplayText&gt;&lt;record&gt;&lt;rec-number&gt;7&lt;/rec-number&gt;&lt;foreign-keys&gt;&lt;key app="EN" db-id="tvd2x2aeprp90te22eox9tvxfe2a0xv0tdfs" timestamp="1623373158"&gt;7&lt;/key&gt;&lt;/foreign-keys&gt;&lt;ref-type name="Web Page"&gt;12&lt;/ref-type&gt;&lt;contributors&gt;&lt;authors&gt;&lt;author&gt;RANZCOG&lt;/author&gt;&lt;/authors&gt;&lt;/contributors&gt;&lt;titles&gt;&lt;title&gt;Genetic carrier screening&lt;/title&gt;&lt;/titles&gt;&lt;volume&gt;2020&lt;/volume&gt;&lt;number&gt;21st September&lt;/number&gt;&lt;dates&gt;&lt;year&gt;2019&lt;/year&gt;&lt;/dates&gt;&lt;pub-location&gt;Melbourne, Victoria&lt;/pub-location&gt;&lt;publisher&gt;RANCOG&lt;/publisher&gt;&lt;urls&gt;&lt;related-urls&gt;&lt;url&gt;https://ranzcog.edu.au/RANZCOG_SITE/media/RANZCOG-MEDIA/Women%27s%20Health/Statement%20and%20guidelines/Clinical-Obstetrics/Genetic-carrier-screening(C-Obs-63)New-March-2019_1.pdf?ext=.pdf&lt;/url&gt;&lt;/related-urls&gt;&lt;/urls&gt;&lt;/record&gt;&lt;/Cite&gt;&lt;/EndNote&gt;</w:instrText>
      </w:r>
      <w:r>
        <w:fldChar w:fldCharType="separate"/>
      </w:r>
      <w:r>
        <w:rPr>
          <w:noProof/>
        </w:rPr>
        <w:t>(RANZCOG, 2019)</w:t>
      </w:r>
      <w:r>
        <w:fldChar w:fldCharType="end"/>
      </w:r>
      <w:r>
        <w:t xml:space="preserve">. These are not novel considerations and have been </w:t>
      </w:r>
      <w:r>
        <w:lastRenderedPageBreak/>
        <w:t xml:space="preserve">widely discussed in the international literature and recognised by clinicians providing antenatal screening for </w:t>
      </w:r>
      <w:r w:rsidR="00002AE8">
        <w:t xml:space="preserve">genetic </w:t>
      </w:r>
      <w:r>
        <w:t>disorders. G</w:t>
      </w:r>
      <w:r w:rsidRPr="0027004B">
        <w:t xml:space="preserve">enetic carrier testing should be offered in conjunction with </w:t>
      </w:r>
      <w:r w:rsidRPr="002F173D">
        <w:t xml:space="preserve">appropriate information to allow informed </w:t>
      </w:r>
      <w:r w:rsidR="00313582">
        <w:t xml:space="preserve">reproductive </w:t>
      </w:r>
      <w:r w:rsidRPr="002F173D">
        <w:t>choice</w:t>
      </w:r>
      <w:r w:rsidR="00313582">
        <w:t xml:space="preserve">, </w:t>
      </w:r>
      <w:r w:rsidR="003146E7">
        <w:t>including</w:t>
      </w:r>
      <w:r w:rsidR="003146E7" w:rsidRPr="002F173D">
        <w:t xml:space="preserve"> for</w:t>
      </w:r>
      <w:r w:rsidRPr="002F173D">
        <w:t xml:space="preserve"> </w:t>
      </w:r>
      <w:r w:rsidR="00313582">
        <w:t xml:space="preserve">reproductive </w:t>
      </w:r>
      <w:r w:rsidRPr="002F173D">
        <w:t>partners who are identified as carriers of the same autosomal recessive condition</w:t>
      </w:r>
      <w:r>
        <w:t xml:space="preserve"> </w: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 </w:instrText>
      </w:r>
      <w:r>
        <w:fldChar w:fldCharType="begin">
          <w:fldData xml:space="preserve">PEVuZE5vdGU+PENpdGU+PEF1dGhvcj5XaWxzb248L0F1dGhvcj48WWVhcj4yMDE2PC9ZZWFyPjxS
ZWNOdW0+MTA8L1JlY051bT48SURUZXh0PjI3NjM4OTg3PC9JRFRleHQ+PERpc3BsYXlUZXh0PihX
aWxzb24gZXQgYWwuLCAyMDE2KTwvRGlzcGxheVRleHQ+PHJlY29yZD48cmVjLW51bWJlcj4xMDwv
cmVjLW51bWJlcj48Zm9yZWlnbi1rZXlzPjxrZXkgYXBwPSJFTiIgZGItaWQ9InR2ZDJ4MmFlcHJw
OTB0ZTIyZW94OXR2eGZlMmEweHYwdGRmcyIgdGltZXN0YW1wPSIxNjIzMzczMTU4Ij4xMDwva2V5
PjwvZm9yZWlnbi1rZXlzPjxyZWYtdHlwZSBuYW1lPSJKb3VybmFsIEFydGljbGUiPjE3PC9yZWYt
dHlwZT48Y29udHJpYnV0b3JzPjxhdXRob3JzPjxhdXRob3I+V2lsc29uLCBSLiBELjwvYXV0aG9y
PjxhdXRob3I+RGUgQmllLCBJLjwvYXV0aG9yPjxhdXRob3I+QXJtb3VyLCBDLiBNLjwvYXV0aG9y
PjxhdXRob3I+QnJvd24sIFIuIE4uPC9hdXRob3I+PGF1dGhvcj5DYW1wYWdub2xvLCBDLjwvYXV0
aG9yPjxhdXRob3I+Q2Fycm9sbCwgSi4gQy48L2F1dGhvcj48YXV0aG9yPk9rdW4sIE4uPC9hdXRo
b3I+PGF1dGhvcj5OZWxzb24sIFQuPC9hdXRob3I+PGF1dGhvcj5ad2luZ2VybWFuLCBSLjwvYXV0
aG9yPjxhdXRob3I+QXVkaWJlcnQsIEYuPC9hdXRob3I+PGF1dGhvcj5Ccm9jaywgSi4gQS48L2F1
dGhvcj48YXV0aG9yPkJyb3duLCBSLiBOLjwvYXV0aG9yPjxhdXRob3I+Q2FtcGFnbm9sbywgQy48
L2F1dGhvcj48YXV0aG9yPkNhcnJvbGwsIEouIEMuPC9hdXRob3I+PGF1dGhvcj5EZSBCaWUsIEku
PC9hdXRob3I+PGF1dGhvcj5Kb2huc29uLCBKLiBBLjwvYXV0aG9yPjxhdXRob3I+T2t1biwgTi48
L2F1dGhvcj48YXV0aG9yPlBhc3RydWNrLCBNLjwvYXV0aG9yPjxhdXRob3I+VmFsbMOpZS1Qb3Vs
aW90LCBLLjwvYXV0aG9yPjxhdXRob3I+V2lsc29uLCBSLiBELjwvYXV0aG9yPjxhdXRob3I+Wndp
bmdlcm1hbiwgUi48L2F1dGhvcj48YXV0aG9yPkFybW91ciwgQy48L2F1dGhvcj48YXV0aG9yPkNo
aXRheWF0LCBELjwvYXV0aG9yPjxhdXRob3I+RGUgQmllLCBJLjwvYXV0aG9yPjxhdXRob3I+RmVy
bmFuZGV6LCBTLjwvYXV0aG9yPjxhdXRob3I+S2ltLCBSLjwvYXV0aG9yPjxhdXRob3I+TGF2b2ll
LCBKLjwvYXV0aG9yPjxhdXRob3I+TGVvbmFyZCwgTi48L2F1dGhvcj48YXV0aG9yPk5lbHNvbiwg
VC48L2F1dGhvcj48YXV0aG9yPlRheWxvciwgUy48L2F1dGhvcj48YXV0aG9yPlZhbiBBbGxlbiwg
TS48L2F1dGhvcj48YXV0aG9yPlZhbiBLYXJuZWJlZWssIEMuPC9hdXRob3I+PC9hdXRob3JzPjwv
Y29udHJpYnV0b3JzPjxhdXRoLWFkZHJlc3M+Q2FsZ2FyeSBBQi4mI3hEO01vbnRyw6lhbCBRQy4m
I3hEO090dGF3YSBPTi4mI3hEO0xvbmRvbiBPTi4mI3hEO1Rvcm9udG8gT04uJiN4RDtWYW5jb3V2
ZXIgQkMuJiN4RDtIYWxpZmF4IE5TLiYjeEQ7Q2FsZ2FyeSBBQiAoY2hhaXIpLiYjeEQ7T3R0YXdh
IE9OIChjaGFpcikuJiN4RDtTdC4gSm9obiZhcG9zO3MgTkwuJiN4RDtFZG1vbnRvbiBBQi48L2F1
dGgtYWRkcmVzcz48dGl0bGVzPjx0aXRsZT5Kb2ludCBTT0dDLUNDTUcgT3BpbmlvbiBmb3IgUmVw
cm9kdWN0aXZlIEdlbmV0aWMgQ2FycmllciBTY3JlZW5pbmc6IEFuIFVwZGF0ZSBmb3IgQWxsIENh
bmFkaWFuIFByb3ZpZGVycyBvZiBNYXRlcm5pdHkgYW5kIFJlcHJvZHVjdGl2ZSBIZWFsdGhjYXJl
IGluIHRoZSBFcmEgb2YgRGlyZWN0LXRvLUNvbnN1bWVyIFRlc3Rpbmc8L3RpdGxlPjxzZWNvbmRh
cnktdGl0bGU+SiBPYnN0ZXQgR3luYWVjb2wgQ2FuPC9zZWNvbmRhcnktdGl0bGU+PC90aXRsZXM+
PHBlcmlvZGljYWw+PGZ1bGwtdGl0bGU+SiBPYnN0ZXQgR3luYWVjb2wgQ2FuPC9mdWxsLXRpdGxl
PjwvcGVyaW9kaWNhbD48cGFnZXM+NzQyLTc2Mi5lMzwvcGFnZXM+PHZvbHVtZT4zODwvdm9sdW1l
PjxudW1iZXI+ODwvbnVtYmVyPjxlZGl0aW9uPjIwMTYvMDkvMTg8L2VkaXRpb24+PGtleXdvcmRz
PjxrZXl3b3JkPkNhbmFkYTwva2V5d29yZD48a2V5d29yZD5EaXJlY3QtVG8tQ29uc3VtZXIgU2Ny
ZWVuaW5nIGFuZCBUZXN0aW5nPC9rZXl3b3JkPjxrZXl3b3JkPkZlbWFsZTwva2V5d29yZD48a2V5
d29yZD4qR2VuZXRpYyBDYXJyaWVyIFNjcmVlbmluZzwva2V5d29yZD48a2V5d29yZD5HZW5ldGlj
IENvdW5zZWxpbmc8L2tleXdvcmQ+PGtleXdvcmQ+SGVhbHRoIEVkdWNhdGlvbjwva2V5d29yZD48
a2V5d29yZD5IZWFsdGggUGVyc29ubmVsPC9rZXl3b3JkPjxrZXl3b3JkPkh1bWFuczwva2V5d29y
ZD48a2V5d29yZD5NYWxlPC9rZXl3b3JkPjxrZXl3b3JkPlByYWN0aWNlIEd1aWRlbGluZXMgYXMg
VG9waWM8L2tleXdvcmQ+PGtleXdvcmQ+KlJlcHJvZHVjdGl2ZSBIZWFsdGggU2VydmljZXM8L2tl
eXdvcmQ+PGtleXdvcmQ+KkJsb29tIHN5bmRyb21lPC9rZXl3b3JkPjxrZXl3b3JkPipDYW5hdmFu
IGRpc2Vhc2U8L2tleXdvcmQ+PGtleXdvcmQ+KkNhcnJpZXIgc2NyZWVuaW5nPC9rZXl3b3JkPjxr
ZXl3b3JkPipEdWNoZW5uZS9CZWNrZXIgbXVzY3VsYXIgZHlzdHJvcGh5PC9rZXl3b3JkPjxrZXl3
b3JkPipGYW5jb25pIGFuZW1pYTwva2V5d29yZD48a2V5d29yZD4qRnJhZ2lsZSBYPC9rZXl3b3Jk
PjxrZXl3b3JkPipHYXVjaGVyIGRpc2Vhc2U8L2tleXdvcmQ+PGtleXdvcmQ+Kk5pZW1hbm4tUGlj
azwva2V5d29yZD48a2V5d29yZD4qVGF5LVNhY2hzIGRpc2Vhc2U8L2tleXdvcmQ+PGtleXdvcmQ+
KldhbGtlci1XYXJidXJnPC9rZXl3b3JkPjxrZXl3b3JkPipYLWxpbmtlZCBkaXNvcmRlcjwva2V5
d29yZD48a2V5d29yZD4qYXV0b3NvbWFsIGRvbWluYW50IGRpc29yZGVyPC9rZXl3b3JkPjxrZXl3
b3JkPiphdXRvc29tYWwgcmVjZXNzaXZlIGRpc29yZGVyPC9rZXl3b3JkPjxrZXl3b3JkPipjeXN0
aWMgZmlicm9zaXM8L2tleXdvcmQ+PGtleXdvcmQ+KmZhbWlsaWFsIGR5c2F1dG9ub21pYTwva2V5
d29yZD48a2V5d29yZD4qZ2x5Y29nZW4gc3RvcmFnZSBkaXNlYXNlPC9rZXl3b3JkPjxrZXl3b3Jk
PipoZW1vZ2xvYmlub3BhdGh5PC9rZXl3b3JkPjxrZXl3b3JkPipoZW1vcGhpbGlhIEE8L2tleXdv
cmQ+PGtleXdvcmQ+KmhlbW9waGlsaWEgQjwva2V5d29yZD48a2V5d29yZD4qaW52YXNpdmUgcHJl
bmF0YWwgdGVzdGluZzwva2V5d29yZD48a2V5d29yZD4qbWFwbGUgc3lydXAgdXJpbmUgZGlzZWFz
ZTwva2V5d29yZD48a2V5d29yZD4qbXVjb2xpcGlkb3Npczwva2V5d29yZD48a2V5d29yZD4qcGVy
aW5hdGFsIGF1dG9wc3k8L2tleXdvcmQ+PGtleXdvcmQ+KnByZW5hdGFsIHNjcmVlbmluZzwva2V5
d29yZD48a2V5d29yZD4qc3BpbmFsIG11c2N1bGFyIGF0cm9waHk8L2tleXdvcmQ+PGtleXdvcmQ+
KnRoYWxhc3NlbWlhPC9rZXl3b3JkPjwva2V5d29yZHM+PGRhdGVzPjx5ZWFyPjIwMTY8L3llYXI+
PHB1Yi1kYXRlcz48ZGF0ZT5BdWc8L2RhdGU+PC9wdWItZGF0ZXM+PC9kYXRlcz48aXNibj4xNzAx
LTIxNjMgKFByaW50KSYjeEQ7MTcwMS0yMTYzPC9pc2JuPjxhY2Nlc3Npb24tbnVtPjI3NjM4OTg3
PC9hY2Nlc3Npb24tbnVtPjx1cmxzPjxyZWxhdGVkLXVybHM+PHVybD5odHRwczovL3d3dy5qb2dj
LmNvbS9hcnRpY2xlL1MxNzAxLTIxNjMoMTYpMzkzNDctMS9wZGY8L3VybD48L3JlbGF0ZWQtdXJs
cz48L3VybHM+PGVsZWN0cm9uaWMtcmVzb3VyY2UtbnVtPjEwLjEwMTYvai5qb2djLjIwMTYuMDYu
MDA4PC9lbGVjdHJvbmljLXJlc291cmNlLW51bT48cmVtb3RlLWRhdGFiYXNlLXByb3ZpZGVyPk5M
TTwvcmVtb3RlLWRhdGFiYXNlLXByb3ZpZGVyPjxsYW5ndWFnZT5lbmc8L2xhbmd1YWdlPjwvcmVj
b3JkPjwvQ2l0ZT48L0VuZE5vdGU+
</w:fldData>
        </w:fldChar>
      </w:r>
      <w:r>
        <w:instrText xml:space="preserve"> ADDIN EN.CITE.DATA </w:instrText>
      </w:r>
      <w:r>
        <w:fldChar w:fldCharType="end"/>
      </w:r>
      <w:r>
        <w:fldChar w:fldCharType="separate"/>
      </w:r>
      <w:r>
        <w:rPr>
          <w:noProof/>
        </w:rPr>
        <w:t>(Wilson et al., 2016)</w:t>
      </w:r>
      <w:r>
        <w:fldChar w:fldCharType="end"/>
      </w:r>
      <w:r>
        <w:t>.</w:t>
      </w:r>
      <w:r w:rsidR="00F84B1C">
        <w:t xml:space="preserve"> </w:t>
      </w:r>
    </w:p>
    <w:p w14:paraId="4BBF84CB" w14:textId="77777777" w:rsidR="009B31CC" w:rsidRPr="004E3ABF" w:rsidRDefault="009B31CC" w:rsidP="00713728">
      <w:pPr>
        <w:pStyle w:val="Heading2"/>
      </w:pPr>
      <w:r w:rsidRPr="00490FBB">
        <w:t>Assessment framework (for investigative technologies)</w:t>
      </w:r>
    </w:p>
    <w:p w14:paraId="3126D038" w14:textId="210ACB9E" w:rsidR="008F5D03" w:rsidRPr="00A76ED0" w:rsidRDefault="008F5D03" w:rsidP="00AE7B05">
      <w:pPr>
        <w:rPr>
          <w:i/>
          <w:iCs/>
        </w:rPr>
      </w:pPr>
      <w:r w:rsidRPr="00A76ED0">
        <w:rPr>
          <w:i/>
          <w:iCs/>
        </w:rPr>
        <w:t>PASC agreed with the assessment framework.</w:t>
      </w:r>
    </w:p>
    <w:p w14:paraId="685EB9B4" w14:textId="5947C393" w:rsidR="00D8692F" w:rsidRPr="006428B8" w:rsidRDefault="00C456A1" w:rsidP="00AE7B05">
      <w:r>
        <w:rPr>
          <w:noProof/>
          <w:lang w:eastAsia="en-AU"/>
        </w:rPr>
        <w:drawing>
          <wp:inline distT="0" distB="0" distL="0" distR="0" wp14:anchorId="38F2B645" wp14:editId="1125DEF5">
            <wp:extent cx="5731510" cy="2699385"/>
            <wp:effectExtent l="0" t="0" r="2540" b="5715"/>
            <wp:docPr id="4" name="Picture 4" descr="Diagram&#10;&#10;Figure 1 Assessment framework showing the links from the test population to health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Figure 1 Assessment framework showing the links from the test population to health outcomes"/>
                    <pic:cNvPicPr/>
                  </pic:nvPicPr>
                  <pic:blipFill>
                    <a:blip r:embed="rId11">
                      <a:extLst>
                        <a:ext uri="{28A0092B-C50C-407E-A947-70E740481C1C}">
                          <a14:useLocalDpi xmlns:a14="http://schemas.microsoft.com/office/drawing/2010/main" val="0"/>
                        </a:ext>
                      </a:extLst>
                    </a:blip>
                    <a:stretch>
                      <a:fillRect/>
                    </a:stretch>
                  </pic:blipFill>
                  <pic:spPr>
                    <a:xfrm>
                      <a:off x="0" y="0"/>
                      <a:ext cx="5731510" cy="2699385"/>
                    </a:xfrm>
                    <a:prstGeom prst="rect">
                      <a:avLst/>
                    </a:prstGeom>
                  </pic:spPr>
                </pic:pic>
              </a:graphicData>
            </a:graphic>
          </wp:inline>
        </w:drawing>
      </w:r>
      <w:r w:rsidR="00D8692F">
        <w:t xml:space="preserve">The assessment framework is presented in </w:t>
      </w:r>
      <w:r w:rsidR="00AE7B05">
        <w:fldChar w:fldCharType="begin"/>
      </w:r>
      <w:r w:rsidR="00AE7B05">
        <w:instrText xml:space="preserve"> REF _Ref68327680 \h  \* MERGEFORMAT </w:instrText>
      </w:r>
      <w:r w:rsidR="00AE7B05">
        <w:fldChar w:fldCharType="separate"/>
      </w:r>
      <w:r w:rsidR="001F1746">
        <w:t>Figure 1</w:t>
      </w:r>
      <w:r w:rsidR="00AE7B05">
        <w:fldChar w:fldCharType="end"/>
      </w:r>
      <w:r w:rsidR="00AE7B05">
        <w:t>.</w:t>
      </w:r>
    </w:p>
    <w:p w14:paraId="58E23E9A" w14:textId="674C81D7" w:rsidR="009B31CC" w:rsidRDefault="00AE6FE0" w:rsidP="00C40CC4">
      <w:pPr>
        <w:pStyle w:val="Caption"/>
      </w:pPr>
      <w:bookmarkStart w:id="22" w:name="_Ref68327593"/>
      <w:bookmarkStart w:id="23" w:name="_Ref68327680"/>
      <w:r>
        <w:t>Figure</w:t>
      </w:r>
      <w:bookmarkEnd w:id="22"/>
      <w:r w:rsidR="00133D42">
        <w:t xml:space="preserve"> </w:t>
      </w:r>
      <w:r w:rsidR="0002778D">
        <w:fldChar w:fldCharType="begin"/>
      </w:r>
      <w:r w:rsidR="0002778D">
        <w:instrText xml:space="preserve"> SEQ Figure \* ARABIC </w:instrText>
      </w:r>
      <w:r w:rsidR="0002778D">
        <w:fldChar w:fldCharType="separate"/>
      </w:r>
      <w:r w:rsidR="0002778D">
        <w:rPr>
          <w:noProof/>
        </w:rPr>
        <w:t>1</w:t>
      </w:r>
      <w:r w:rsidR="0002778D">
        <w:fldChar w:fldCharType="end"/>
      </w:r>
      <w:bookmarkEnd w:id="23"/>
      <w:r w:rsidR="009B31CC" w:rsidRPr="00490FBB">
        <w:tab/>
      </w:r>
      <w:r w:rsidR="00D8692F">
        <w:t>A</w:t>
      </w:r>
      <w:r w:rsidR="009B31CC" w:rsidRPr="00490FBB">
        <w:t>ssessment framework showing the links from the test population to health outcomes</w:t>
      </w:r>
    </w:p>
    <w:p w14:paraId="534738C5" w14:textId="6CB07EDF" w:rsidR="00C40CC4" w:rsidRPr="00C40CC4" w:rsidRDefault="00C40CC4" w:rsidP="00C40CC4">
      <w:pPr>
        <w:pStyle w:val="Tablenotes"/>
        <w:keepLines/>
        <w:rPr>
          <w:szCs w:val="18"/>
        </w:rPr>
      </w:pPr>
      <w:r w:rsidRPr="00C40CC4">
        <w:rPr>
          <w:szCs w:val="18"/>
        </w:rPr>
        <w:t xml:space="preserve">Figure notes: 1: direct from test to health outcomes evidence; 2: test accuracy; 3: change in diagnosis/treatment/management; </w:t>
      </w:r>
      <w:r w:rsidR="00C456A1">
        <w:rPr>
          <w:szCs w:val="18"/>
        </w:rPr>
        <w:t>4</w:t>
      </w:r>
      <w:r w:rsidRPr="00C40CC4">
        <w:rPr>
          <w:szCs w:val="18"/>
        </w:rPr>
        <w:t xml:space="preserve">: influence of the change in management on </w:t>
      </w:r>
      <w:r w:rsidR="00C456A1">
        <w:rPr>
          <w:szCs w:val="18"/>
        </w:rPr>
        <w:t>health</w:t>
      </w:r>
      <w:r w:rsidRPr="00C40CC4">
        <w:rPr>
          <w:szCs w:val="18"/>
        </w:rPr>
        <w:t xml:space="preserve"> outcomes</w:t>
      </w:r>
      <w:r w:rsidR="00AE7B05">
        <w:rPr>
          <w:szCs w:val="18"/>
        </w:rPr>
        <w:t xml:space="preserve">; </w:t>
      </w:r>
      <w:r w:rsidR="00C456A1">
        <w:rPr>
          <w:szCs w:val="18"/>
        </w:rPr>
        <w:t>5</w:t>
      </w:r>
      <w:r w:rsidRPr="00C40CC4">
        <w:rPr>
          <w:szCs w:val="18"/>
        </w:rPr>
        <w:t xml:space="preserve">: adverse events due to testing; </w:t>
      </w:r>
      <w:r w:rsidR="00C456A1">
        <w:rPr>
          <w:szCs w:val="18"/>
        </w:rPr>
        <w:t>6</w:t>
      </w:r>
      <w:r w:rsidRPr="00C40CC4">
        <w:rPr>
          <w:szCs w:val="18"/>
        </w:rPr>
        <w:t>: adverse events due to treatment</w:t>
      </w:r>
    </w:p>
    <w:p w14:paraId="6069F0B5" w14:textId="41FEC9F2" w:rsidR="00D73332" w:rsidRPr="00490FBB" w:rsidRDefault="00D73332" w:rsidP="00713728">
      <w:pPr>
        <w:pStyle w:val="Heading2"/>
        <w:rPr>
          <w:b/>
          <w:bCs/>
          <w:i/>
        </w:rPr>
      </w:pPr>
      <w:r w:rsidRPr="00490FBB">
        <w:t>Clinical management algorithms</w:t>
      </w:r>
    </w:p>
    <w:p w14:paraId="1DCF931A" w14:textId="74D5D900" w:rsidR="00A8606D" w:rsidRPr="00791881" w:rsidRDefault="00A8606D" w:rsidP="00791881">
      <w:pPr>
        <w:rPr>
          <w:b/>
          <w:bCs/>
        </w:rPr>
      </w:pPr>
      <w:r w:rsidRPr="00791881">
        <w:rPr>
          <w:b/>
          <w:bCs/>
        </w:rPr>
        <w:t>Current clinical management algorithm for identified population</w:t>
      </w:r>
    </w:p>
    <w:p w14:paraId="2F4E7AD9" w14:textId="2869C8DA" w:rsidR="00170FCF" w:rsidRDefault="00170FCF" w:rsidP="00A8606D">
      <w:r w:rsidRPr="00AC6FD2">
        <w:rPr>
          <w:i/>
          <w:iCs/>
        </w:rPr>
        <w:t xml:space="preserve">PASC advised that the current algorithm </w:t>
      </w:r>
      <w:r w:rsidR="00AC6FD2" w:rsidRPr="00AC6FD2">
        <w:rPr>
          <w:i/>
          <w:iCs/>
        </w:rPr>
        <w:t>sh</w:t>
      </w:r>
      <w:r w:rsidRPr="00AC6FD2">
        <w:rPr>
          <w:i/>
          <w:iCs/>
        </w:rPr>
        <w:t>ould be either no carrier testing or the carrier testing for CF, SMA and FXS (supported for public funding by MSAC)</w:t>
      </w:r>
      <w:r w:rsidR="00AC6FD2" w:rsidRPr="00AC6FD2">
        <w:rPr>
          <w:i/>
          <w:iCs/>
        </w:rPr>
        <w:t>, as per the base case comparator</w:t>
      </w:r>
      <w:r w:rsidRPr="00170FCF">
        <w:t>. The clinical management algorithm for the latter is provided in the figures.</w:t>
      </w:r>
    </w:p>
    <w:p w14:paraId="00EA1042" w14:textId="172392BF" w:rsidR="00DB539A" w:rsidRDefault="003146E7" w:rsidP="00A8606D">
      <w:r>
        <w:t>The current</w:t>
      </w:r>
      <w:r w:rsidR="00A8606D">
        <w:t xml:space="preserve"> clinical management pathway for individuals prior to receiving the intervention </w:t>
      </w:r>
      <w:r w:rsidR="00B02BB0">
        <w:t xml:space="preserve">is the pathway for genetic carrier testing for detection of CF, SMA and FXS, among </w:t>
      </w:r>
      <w:r w:rsidR="009719D1">
        <w:t>patients</w:t>
      </w:r>
      <w:r w:rsidR="00B02BB0">
        <w:t xml:space="preserve"> planning a pregnancy or those who are pregnant (MSAC application 1573) (</w:t>
      </w:r>
      <w:r w:rsidR="00B02BB0">
        <w:fldChar w:fldCharType="begin"/>
      </w:r>
      <w:r w:rsidR="00B02BB0">
        <w:instrText xml:space="preserve"> REF _Ref77341811 \h </w:instrText>
      </w:r>
      <w:r w:rsidR="00B02BB0">
        <w:fldChar w:fldCharType="separate"/>
      </w:r>
      <w:r w:rsidR="00C255D0">
        <w:t xml:space="preserve">Figure </w:t>
      </w:r>
      <w:r w:rsidR="00C255D0">
        <w:rPr>
          <w:noProof/>
        </w:rPr>
        <w:t>2</w:t>
      </w:r>
      <w:r w:rsidR="00B02BB0">
        <w:fldChar w:fldCharType="end"/>
      </w:r>
      <w:r w:rsidR="00B02BB0">
        <w:t xml:space="preserve">, </w:t>
      </w:r>
      <w:r w:rsidR="00B02BB0">
        <w:fldChar w:fldCharType="begin"/>
      </w:r>
      <w:r w:rsidR="00B02BB0">
        <w:instrText xml:space="preserve"> REF _Ref77341816 \h </w:instrText>
      </w:r>
      <w:r w:rsidR="00B02BB0">
        <w:fldChar w:fldCharType="separate"/>
      </w:r>
      <w:r w:rsidR="00C255D0">
        <w:t xml:space="preserve">Figure </w:t>
      </w:r>
      <w:r w:rsidR="00C255D0">
        <w:rPr>
          <w:noProof/>
        </w:rPr>
        <w:t>3</w:t>
      </w:r>
      <w:r w:rsidR="00B02BB0">
        <w:fldChar w:fldCharType="end"/>
      </w:r>
      <w:r w:rsidR="00B02BB0">
        <w:t>)</w:t>
      </w:r>
      <w:r w:rsidR="00A8606D">
        <w:t xml:space="preserve">. </w:t>
      </w:r>
      <w:r w:rsidR="00727A18">
        <w:t>As the testing supported for 1573 would be available to the whole population planning pregnancy or pregnant (and their reproductive partners), t</w:t>
      </w:r>
      <w:r w:rsidR="003E036F">
        <w:t xml:space="preserve">he </w:t>
      </w:r>
      <w:r w:rsidR="009719D1" w:rsidRPr="009719D1">
        <w:t>relatives of those found to be carriers of a variant</w:t>
      </w:r>
      <w:r w:rsidR="003E036F">
        <w:t xml:space="preserve"> </w:t>
      </w:r>
      <w:r w:rsidR="00727A18">
        <w:t xml:space="preserve">in the genes associated with CF, SMA or FXS </w:t>
      </w:r>
      <w:r w:rsidR="003E036F">
        <w:t xml:space="preserve">would also be eligible for testing under </w:t>
      </w:r>
      <w:r w:rsidR="00FA19D7">
        <w:t xml:space="preserve">the </w:t>
      </w:r>
      <w:r w:rsidR="003E036F">
        <w:t>supported item</w:t>
      </w:r>
      <w:r w:rsidR="00727A18">
        <w:t>s</w:t>
      </w:r>
      <w:r w:rsidR="0004535A">
        <w:t xml:space="preserve"> </w:t>
      </w:r>
      <w:r w:rsidR="00FA19D7">
        <w:t xml:space="preserve">when </w:t>
      </w:r>
      <w:r w:rsidR="00727A18">
        <w:t>they are</w:t>
      </w:r>
      <w:r w:rsidR="00FA19D7">
        <w:t xml:space="preserve"> allocated by the MBS</w:t>
      </w:r>
      <w:r w:rsidR="009719D1" w:rsidRPr="00FA19D7">
        <w:t>.</w:t>
      </w:r>
      <w:r w:rsidR="009719D1" w:rsidRPr="009719D1">
        <w:t xml:space="preserve"> </w:t>
      </w:r>
    </w:p>
    <w:p w14:paraId="5A47A7D6" w14:textId="4B6589F1" w:rsidR="003146E7" w:rsidRDefault="00A8606D" w:rsidP="003146E7">
      <w:r>
        <w:t>Carrier testing is designed to identify individuals</w:t>
      </w:r>
      <w:r w:rsidR="00313582">
        <w:t xml:space="preserve"> at-risk of having offspring affected by the autosomal recessive </w:t>
      </w:r>
      <w:r w:rsidR="003E036F">
        <w:t xml:space="preserve">or X-linked </w:t>
      </w:r>
      <w:r w:rsidR="00313582">
        <w:t>inherited condition(s) tested for</w:t>
      </w:r>
      <w:r>
        <w:t>.</w:t>
      </w:r>
      <w:r w:rsidR="0004535A">
        <w:t xml:space="preserve"> </w:t>
      </w:r>
      <w:r w:rsidR="003146E7">
        <w:t xml:space="preserve">Carrier testing for conditions such as beta </w:t>
      </w:r>
      <w:r w:rsidR="003146E7">
        <w:lastRenderedPageBreak/>
        <w:t xml:space="preserve">thalassaemia (although noting that testing for thalassaemia trait and disease is usually performed by non-genetic proxy means,) prior to conception or in early pregnancy is already an integral part of reproductive care with women and, as necessary, their reproductive partners. Preconception carrier testing is currently recommended as standard practice by the Royal Australian College of General Practitioners (RACGP) </w:t>
      </w:r>
      <w:r w:rsidR="003146E7">
        <w:fldChar w:fldCharType="begin"/>
      </w:r>
      <w:r w:rsidR="003146E7">
        <w:instrText xml:space="preserve"> ADDIN EN.CITE &lt;EndNote&gt;&lt;Cite&gt;&lt;Author&gt;Delatycki&lt;/Author&gt;&lt;Year&gt;2019&lt;/Year&gt;&lt;RecNum&gt;79&lt;/RecNum&gt;&lt;DisplayText&gt;(Delatycki et al., 2019)&lt;/DisplayText&gt;&lt;record&gt;&lt;rec-number&gt;79&lt;/rec-number&gt;&lt;foreign-keys&gt;&lt;key app="EN" db-id="tvd2x2aeprp90te22eox9tvxfe2a0xv0tdfs" timestamp="1625207375"&gt;79&lt;/key&gt;&lt;/foreign-keys&gt;&lt;ref-type name="Journal Article"&gt;17&lt;/ref-type&gt;&lt;contributors&gt;&lt;authors&gt;&lt;author&gt;Delatycki, M.&lt;/author&gt;&lt;author&gt;Laing, N.&lt;/author&gt;&lt;author&gt;Moore, S.&lt;/author&gt;&lt;author&gt;Emery, J.&lt;/author&gt;&lt;author&gt;Archibald, A.&lt;/author&gt;&lt;author&gt;Massie, J.&lt;/author&gt;&lt;author&gt;Kirk, E.&lt;/author&gt;&lt;/authors&gt;&lt;/contributors&gt;&lt;titles&gt;&lt;title&gt;Preconception and antenatal carrier screening for genetic conditions&lt;/title&gt;&lt;secondary-title&gt;Australian Journal for General Practitioners&lt;/secondary-title&gt;&lt;/titles&gt;&lt;periodical&gt;&lt;full-title&gt;Australian Journal for General Practitioners&lt;/full-title&gt;&lt;/periodical&gt;&lt;pages&gt;106-110&lt;/pages&gt;&lt;volume&gt;48&lt;/volume&gt;&lt;dates&gt;&lt;year&gt;2019&lt;/year&gt;&lt;pub-dates&gt;&lt;date&gt;02/21&lt;/date&gt;&lt;/pub-dates&gt;&lt;/dates&gt;&lt;publisher&gt;The Royal Australian College of General Practitioners (RACGP)&lt;/publisher&gt;&lt;urls&gt;&lt;related-urls&gt;&lt;url&gt;https://www1.racgp.org.au/ajgp/2019/march/preconception-and-antenatal-carrier-screening-for&lt;/url&gt;&lt;/related-urls&gt;&lt;/urls&gt;&lt;/record&gt;&lt;/Cite&gt;&lt;/EndNote&gt;</w:instrText>
      </w:r>
      <w:r w:rsidR="003146E7">
        <w:fldChar w:fldCharType="separate"/>
      </w:r>
      <w:r w:rsidR="003146E7">
        <w:rPr>
          <w:noProof/>
        </w:rPr>
        <w:t>(Delatycki et al., 2019)</w:t>
      </w:r>
      <w:r w:rsidR="003146E7">
        <w:fldChar w:fldCharType="end"/>
      </w:r>
      <w:r w:rsidR="003146E7">
        <w:t xml:space="preserve"> and RANZCOG </w:t>
      </w:r>
      <w:r w:rsidR="003146E7">
        <w:fldChar w:fldCharType="begin"/>
      </w:r>
      <w:r w:rsidR="003146E7">
        <w:instrText xml:space="preserve"> ADDIN EN.CITE &lt;EndNote&gt;&lt;Cite&gt;&lt;Author&gt;RANZCOG&lt;/Author&gt;&lt;Year&gt;2019&lt;/Year&gt;&lt;RecNum&gt;7&lt;/RecNum&gt;&lt;DisplayText&gt;(RANZCOG, 2019)&lt;/DisplayText&gt;&lt;record&gt;&lt;rec-number&gt;7&lt;/rec-number&gt;&lt;foreign-keys&gt;&lt;key app="EN" db-id="tvd2x2aeprp90te22eox9tvxfe2a0xv0tdfs" timestamp="1623373158"&gt;7&lt;/key&gt;&lt;/foreign-keys&gt;&lt;ref-type name="Web Page"&gt;12&lt;/ref-type&gt;&lt;contributors&gt;&lt;authors&gt;&lt;author&gt;RANZCOG&lt;/author&gt;&lt;/authors&gt;&lt;/contributors&gt;&lt;titles&gt;&lt;title&gt;Genetic carrier screening&lt;/title&gt;&lt;/titles&gt;&lt;volume&gt;2020&lt;/volume&gt;&lt;number&gt;21st September&lt;/number&gt;&lt;dates&gt;&lt;year&gt;2019&lt;/year&gt;&lt;/dates&gt;&lt;pub-location&gt;Melbourne, Victoria&lt;/pub-location&gt;&lt;publisher&gt;RANCOG&lt;/publisher&gt;&lt;urls&gt;&lt;related-urls&gt;&lt;url&gt;https://ranzcog.edu.au/RANZCOG_SITE/media/RANZCOG-MEDIA/Women%27s%20Health/Statement%20and%20guidelines/Clinical-Obstetrics/Genetic-carrier-screening(C-Obs-63)New-March-2019_1.pdf?ext=.pdf&lt;/url&gt;&lt;/related-urls&gt;&lt;/urls&gt;&lt;/record&gt;&lt;/Cite&gt;&lt;/EndNote&gt;</w:instrText>
      </w:r>
      <w:r w:rsidR="003146E7">
        <w:fldChar w:fldCharType="separate"/>
      </w:r>
      <w:r w:rsidR="003146E7">
        <w:rPr>
          <w:noProof/>
        </w:rPr>
        <w:t>(RANZCOG, 2019)</w:t>
      </w:r>
      <w:r w:rsidR="003146E7">
        <w:fldChar w:fldCharType="end"/>
      </w:r>
      <w:r w:rsidR="003146E7">
        <w:t>.</w:t>
      </w:r>
    </w:p>
    <w:p w14:paraId="06FFDC07" w14:textId="2A4F94F8" w:rsidR="00A8606D" w:rsidRDefault="00A8606D" w:rsidP="00791881">
      <w:r>
        <w:t>In Australia, genetic testing for severe monogenic disorders</w:t>
      </w:r>
      <w:r w:rsidR="00BC1BCD">
        <w:t xml:space="preserve"> in the exemplar population,</w:t>
      </w:r>
      <w:r>
        <w:t xml:space="preserve"> such as those described in this application</w:t>
      </w:r>
      <w:r w:rsidR="00BC1BCD">
        <w:t>,</w:t>
      </w:r>
      <w:r>
        <w:t xml:space="preserve"> is currently accessible to some at-risk individuals in the </w:t>
      </w:r>
      <w:r w:rsidR="00666B40">
        <w:t xml:space="preserve">Ashkenazi Jewish </w:t>
      </w:r>
      <w:r>
        <w:t xml:space="preserve">population via the following pathways: </w:t>
      </w:r>
    </w:p>
    <w:p w14:paraId="20A8A9D9" w14:textId="4AC173CA" w:rsidR="00A8606D" w:rsidRPr="00791881" w:rsidRDefault="00A8606D" w:rsidP="00556800">
      <w:pPr>
        <w:pStyle w:val="ListParagraph"/>
        <w:numPr>
          <w:ilvl w:val="0"/>
          <w:numId w:val="8"/>
        </w:numPr>
        <w:rPr>
          <w:u w:val="dotted"/>
        </w:rPr>
      </w:pPr>
      <w:r w:rsidRPr="00791881">
        <w:t>cohort high-school-based preconception testing</w:t>
      </w:r>
    </w:p>
    <w:p w14:paraId="0188B13E" w14:textId="334331F0" w:rsidR="00A8606D" w:rsidRPr="00791881" w:rsidRDefault="00A8606D" w:rsidP="00556800">
      <w:pPr>
        <w:pStyle w:val="ListParagraph"/>
        <w:numPr>
          <w:ilvl w:val="0"/>
          <w:numId w:val="8"/>
        </w:numPr>
        <w:rPr>
          <w:u w:val="dotted"/>
        </w:rPr>
      </w:pPr>
      <w:r w:rsidRPr="00791881">
        <w:t xml:space="preserve">preconception testing prior to marriage (generally only utilised by the </w:t>
      </w:r>
      <w:r w:rsidR="00B33AA8" w:rsidRPr="00791881">
        <w:t xml:space="preserve">very </w:t>
      </w:r>
      <w:r w:rsidRPr="00791881">
        <w:t xml:space="preserve">religiously observant) </w:t>
      </w:r>
    </w:p>
    <w:p w14:paraId="74044EF8" w14:textId="33DF920A" w:rsidR="00A8606D" w:rsidRPr="00791881" w:rsidRDefault="00A8606D" w:rsidP="00556800">
      <w:pPr>
        <w:pStyle w:val="ListParagraph"/>
        <w:numPr>
          <w:ilvl w:val="0"/>
          <w:numId w:val="8"/>
        </w:numPr>
        <w:rPr>
          <w:u w:val="dotted"/>
        </w:rPr>
      </w:pPr>
      <w:r w:rsidRPr="00791881">
        <w:t>antenatal testing early in pregnancy</w:t>
      </w:r>
    </w:p>
    <w:p w14:paraId="55C2A3B9" w14:textId="22F258E9" w:rsidR="00C255D0" w:rsidRDefault="00A8606D" w:rsidP="00C255D0">
      <w:pPr>
        <w:sectPr w:rsidR="00C255D0">
          <w:pgSz w:w="11906" w:h="16838"/>
          <w:pgMar w:top="1440" w:right="1440" w:bottom="1440" w:left="1440" w:header="708" w:footer="708" w:gutter="0"/>
          <w:cols w:space="708"/>
          <w:docGrid w:linePitch="360"/>
        </w:sectPr>
      </w:pPr>
      <w:r>
        <w:t xml:space="preserve">These programs are well established and are organised by the </w:t>
      </w:r>
      <w:r w:rsidR="00666B40">
        <w:t xml:space="preserve">Ashkenazi </w:t>
      </w:r>
      <w:r w:rsidR="003146E7">
        <w:t>Jewish community</w:t>
      </w:r>
      <w:r>
        <w:t xml:space="preserve"> itself, funded either by individuals paying fully out-of-pocket expenses, or via charitable organisations within the communities. </w:t>
      </w:r>
      <w:r w:rsidRPr="007D6ACC">
        <w:t xml:space="preserve">Note that the cohort high-school testing program in the </w:t>
      </w:r>
      <w:r w:rsidR="00666B40">
        <w:t xml:space="preserve">Ashkenazi Jewish </w:t>
      </w:r>
      <w:r w:rsidRPr="007D6ACC">
        <w:t>community is only available in N</w:t>
      </w:r>
      <w:r>
        <w:t xml:space="preserve">ew </w:t>
      </w:r>
      <w:r w:rsidRPr="007D6ACC">
        <w:t>S</w:t>
      </w:r>
      <w:r>
        <w:t xml:space="preserve">outh </w:t>
      </w:r>
      <w:r w:rsidRPr="007D6ACC">
        <w:t>W</w:t>
      </w:r>
      <w:r>
        <w:t>ales</w:t>
      </w:r>
      <w:r w:rsidRPr="007D6ACC">
        <w:t>, and then only to students in selected high schools, resulting in significant inequity of access to testing.</w:t>
      </w:r>
    </w:p>
    <w:p w14:paraId="270FD8BC" w14:textId="7533C2BF" w:rsidR="00C255D0" w:rsidRDefault="00C255D0" w:rsidP="00C255D0">
      <w:r>
        <w:rPr>
          <w:noProof/>
          <w:lang w:eastAsia="en-AU"/>
        </w:rPr>
        <w:lastRenderedPageBreak/>
        <w:drawing>
          <wp:anchor distT="0" distB="0" distL="114300" distR="114300" simplePos="0" relativeHeight="251714560" behindDoc="0" locked="0" layoutInCell="1" allowOverlap="1" wp14:anchorId="12421EDE" wp14:editId="6F94FF16">
            <wp:simplePos x="0" y="0"/>
            <wp:positionH relativeFrom="margin">
              <wp:align>left</wp:align>
            </wp:positionH>
            <wp:positionV relativeFrom="paragraph">
              <wp:posOffset>83</wp:posOffset>
            </wp:positionV>
            <wp:extent cx="4348925" cy="4340948"/>
            <wp:effectExtent l="0" t="0" r="0" b="254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371599" cy="43635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715584" behindDoc="0" locked="0" layoutInCell="1" allowOverlap="1" wp14:anchorId="5927FAD1" wp14:editId="420AD2F2">
            <wp:simplePos x="0" y="0"/>
            <wp:positionH relativeFrom="margin">
              <wp:posOffset>4306186</wp:posOffset>
            </wp:positionH>
            <wp:positionV relativeFrom="paragraph">
              <wp:posOffset>0</wp:posOffset>
            </wp:positionV>
            <wp:extent cx="4833318" cy="4146698"/>
            <wp:effectExtent l="0" t="0" r="5715" b="635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841672" cy="415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5B7">
        <w:rPr>
          <w:noProof/>
          <w:lang w:eastAsia="en-AU"/>
        </w:rPr>
        <mc:AlternateContent>
          <mc:Choice Requires="wps">
            <w:drawing>
              <wp:anchor distT="0" distB="0" distL="114300" distR="114300" simplePos="0" relativeHeight="251712512" behindDoc="0" locked="0" layoutInCell="1" allowOverlap="1" wp14:anchorId="27460337" wp14:editId="344B73BE">
                <wp:simplePos x="0" y="0"/>
                <wp:positionH relativeFrom="margin">
                  <wp:align>left</wp:align>
                </wp:positionH>
                <wp:positionV relativeFrom="paragraph">
                  <wp:posOffset>4564380</wp:posOffset>
                </wp:positionV>
                <wp:extent cx="4883785" cy="311150"/>
                <wp:effectExtent l="0" t="0" r="0" b="0"/>
                <wp:wrapTopAndBottom/>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785" cy="311150"/>
                        </a:xfrm>
                        <a:prstGeom prst="rect">
                          <a:avLst/>
                        </a:prstGeom>
                        <a:solidFill>
                          <a:prstClr val="white"/>
                        </a:solidFill>
                        <a:ln>
                          <a:noFill/>
                        </a:ln>
                      </wps:spPr>
                      <wps:txbx>
                        <w:txbxContent>
                          <w:p w14:paraId="0B902EA9" w14:textId="77777777" w:rsidR="006C5509" w:rsidRPr="00877AE5" w:rsidRDefault="006C5509" w:rsidP="00C255D0">
                            <w:pPr>
                              <w:pStyle w:val="Caption"/>
                              <w:spacing w:before="0"/>
                              <w:rPr>
                                <w:rFonts w:ascii="Calibri" w:eastAsia="Calibri" w:hAnsi="Calibri" w:cs="Times New Roman"/>
                                <w:noProof/>
                                <w:lang w:eastAsia="en-US"/>
                              </w:rPr>
                            </w:pPr>
                            <w:bookmarkStart w:id="24" w:name="_Ref77341811"/>
                            <w:r>
                              <w:t xml:space="preserve">Figure </w:t>
                            </w:r>
                            <w:r>
                              <w:fldChar w:fldCharType="begin"/>
                            </w:r>
                            <w:r>
                              <w:instrText xml:space="preserve"> SEQ Figure \* ARABIC </w:instrText>
                            </w:r>
                            <w:r>
                              <w:fldChar w:fldCharType="separate"/>
                            </w:r>
                            <w:r>
                              <w:rPr>
                                <w:noProof/>
                              </w:rPr>
                              <w:t>2</w:t>
                            </w:r>
                            <w:r>
                              <w:fldChar w:fldCharType="end"/>
                            </w:r>
                            <w:bookmarkEnd w:id="24"/>
                            <w:r>
                              <w:t xml:space="preserve"> Current clinical management algorithm for individuals who are pregnant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460337" id="_x0000_t202" coordsize="21600,21600" o:spt="202" path="m,l,21600r21600,l21600,xe">
                <v:stroke joinstyle="miter"/>
                <v:path gradientshapeok="t" o:connecttype="rect"/>
              </v:shapetype>
              <v:shape id="Text Box 8" o:spid="_x0000_s1026" type="#_x0000_t202" alt="&quot;&quot;" style="position:absolute;margin-left:0;margin-top:359.4pt;width:384.55pt;height:24.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1DOgIAAHkEAAAOAAAAZHJzL2Uyb0RvYy54bWysVMFuGjEQvVfqP1i+l4WkadGKJaJEVJVQ&#10;EgminI3XZq3aHtc27KZf37GXhTTtqerFzHrezPjNm2F22xlNjsIHBbaik9GYEmE51MruK/q0XX2Y&#10;UhIiszXTYEVFX0Sgt/P372atK8UVNKBr4QkmsaFsXUWbGF1ZFIE3wrAwAicsOiV4wyJ++n1Re9Zi&#10;dqOLq/H4U9GCr50HLkLA27veSec5v5SCxwcpg4hEVxTfFvPp87lLZzGfsXLvmWsUPz2D/cMrDFMW&#10;i55T3bHIyMGrP1IZxT0EkHHEwRQgpeIic0A2k/EbNpuGOZG5YHOCO7cp/L+0/P746ImqK4pCWWZQ&#10;oq3oIvkCHZmm7rQulAjaOITFDq9R5cw0uDXw7wEhxStMHxAQnbrRSW/SL/IkGIgCvJybnqpwvPw4&#10;nV5/nt5QwtF3PZlMbrIqxSXa+RC/CjAkGRX1KGp+ATuuQ0z1WTlAUrEAWtUrpXX6SI6l9uTIcADa&#10;RkWRSGHEbyhtE9ZCiurd6Sbz6qkkhrHbdehM5g7qF+yHh36eguMrhYXWLMRH5nGAkCkuRXzAQ2po&#10;Kwoni5IG/M+/3Sc86opeSlocyIqGHwfmBSX6m0XF0/QOhh+M3WDYg1kCUpzgujmeTQzwUQ+m9GCe&#10;cVcWqQq6mOVYq6JxMJexXwvcNS4WiwzCGXUsru3G8UH21NBt98y8O8kRUch7GEaVlW9U6bF9exeH&#10;CFJlyS5dPPUZ5zvrctrFtECvvzPq8o8x/wUAAP//AwBQSwMEFAAGAAgAAAAhABvlWsTdAAAACAEA&#10;AA8AAABkcnMvZG93bnJldi54bWxMj8FOg0AQhu8mvsNmTLwYu9ADIGVptNWbHlqbnqfsFIjsLGGX&#10;Qt/e7UlvM/kn/3xfsZ5NJy40uNaygngRgSCurG65VnD4/njOQDiPrLGzTAqu5GBd3t8VmGs78Y4u&#10;e1+LUMIuRwWN930upasaMugWticO2dkOBn1Yh1rqAadQbjq5jKJEGmw5fGiwp01D1c9+NAqS7TBO&#10;O948bQ/vn/jV18vj2/Wo1OPD/LoC4Wn2f8dwww/oUAamkx1ZO9EpCCJeQRpnQSDEafISgzjdhjQD&#10;WRbyv0D5CwAA//8DAFBLAQItABQABgAIAAAAIQC2gziS/gAAAOEBAAATAAAAAAAAAAAAAAAAAAAA&#10;AABbQ29udGVudF9UeXBlc10ueG1sUEsBAi0AFAAGAAgAAAAhADj9If/WAAAAlAEAAAsAAAAAAAAA&#10;AAAAAAAALwEAAF9yZWxzLy5yZWxzUEsBAi0AFAAGAAgAAAAhAD3KHUM6AgAAeQQAAA4AAAAAAAAA&#10;AAAAAAAALgIAAGRycy9lMm9Eb2MueG1sUEsBAi0AFAAGAAgAAAAhABvlWsTdAAAACAEAAA8AAAAA&#10;AAAAAAAAAAAAlAQAAGRycy9kb3ducmV2LnhtbFBLBQYAAAAABAAEAPMAAACeBQAAAAA=&#10;" stroked="f">
                <v:textbox inset="0,0,0,0">
                  <w:txbxContent>
                    <w:p w14:paraId="0B902EA9" w14:textId="77777777" w:rsidR="006C5509" w:rsidRPr="00877AE5" w:rsidRDefault="006C5509" w:rsidP="00C255D0">
                      <w:pPr>
                        <w:pStyle w:val="Caption"/>
                        <w:spacing w:before="0"/>
                        <w:rPr>
                          <w:rFonts w:ascii="Calibri" w:eastAsia="Calibri" w:hAnsi="Calibri" w:cs="Times New Roman"/>
                          <w:noProof/>
                          <w:lang w:eastAsia="en-US"/>
                        </w:rPr>
                      </w:pPr>
                      <w:bookmarkStart w:id="25" w:name="_Ref77341811"/>
                      <w:r>
                        <w:t xml:space="preserve">Figure </w:t>
                      </w:r>
                      <w:r>
                        <w:fldChar w:fldCharType="begin"/>
                      </w:r>
                      <w:r>
                        <w:instrText xml:space="preserve"> SEQ Figure \* ARABIC </w:instrText>
                      </w:r>
                      <w:r>
                        <w:fldChar w:fldCharType="separate"/>
                      </w:r>
                      <w:r>
                        <w:rPr>
                          <w:noProof/>
                        </w:rPr>
                        <w:t>2</w:t>
                      </w:r>
                      <w:r>
                        <w:fldChar w:fldCharType="end"/>
                      </w:r>
                      <w:bookmarkEnd w:id="25"/>
                      <w:r>
                        <w:t xml:space="preserve"> Current clinical management algorithm for individuals who are pregnant</w:t>
                      </w:r>
                    </w:p>
                  </w:txbxContent>
                </v:textbox>
                <w10:wrap type="topAndBottom" anchorx="margin"/>
              </v:shape>
            </w:pict>
          </mc:Fallback>
        </mc:AlternateContent>
      </w:r>
      <w:r w:rsidR="00C515B7">
        <w:rPr>
          <w:noProof/>
          <w:lang w:eastAsia="en-AU"/>
        </w:rPr>
        <mc:AlternateContent>
          <mc:Choice Requires="wps">
            <w:drawing>
              <wp:anchor distT="0" distB="0" distL="114300" distR="114300" simplePos="0" relativeHeight="251713536" behindDoc="0" locked="0" layoutInCell="1" allowOverlap="1" wp14:anchorId="419B6B62" wp14:editId="4DA41418">
                <wp:simplePos x="0" y="0"/>
                <wp:positionH relativeFrom="page">
                  <wp:posOffset>5661025</wp:posOffset>
                </wp:positionH>
                <wp:positionV relativeFrom="paragraph">
                  <wp:posOffset>4572000</wp:posOffset>
                </wp:positionV>
                <wp:extent cx="4380865" cy="238125"/>
                <wp:effectExtent l="0" t="0" r="0" b="0"/>
                <wp:wrapTopAndBottom/>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0865" cy="238125"/>
                        </a:xfrm>
                        <a:prstGeom prst="rect">
                          <a:avLst/>
                        </a:prstGeom>
                        <a:solidFill>
                          <a:prstClr val="white"/>
                        </a:solidFill>
                        <a:ln>
                          <a:noFill/>
                        </a:ln>
                      </wps:spPr>
                      <wps:txbx>
                        <w:txbxContent>
                          <w:p w14:paraId="355AB2C2" w14:textId="77777777" w:rsidR="006C5509" w:rsidRPr="0019439E" w:rsidRDefault="006C5509" w:rsidP="00C255D0">
                            <w:pPr>
                              <w:pStyle w:val="Caption"/>
                              <w:spacing w:before="0"/>
                              <w:rPr>
                                <w:rFonts w:ascii="Calibri" w:eastAsia="Calibri" w:hAnsi="Calibri" w:cs="Times New Roman"/>
                                <w:noProof/>
                                <w:lang w:eastAsia="en-US"/>
                              </w:rPr>
                            </w:pPr>
                            <w:bookmarkStart w:id="25" w:name="_Ref77341816"/>
                            <w:r>
                              <w:t xml:space="preserve">Figure </w:t>
                            </w:r>
                            <w:r>
                              <w:fldChar w:fldCharType="begin"/>
                            </w:r>
                            <w:r>
                              <w:instrText xml:space="preserve"> SEQ Figure \* ARABIC </w:instrText>
                            </w:r>
                            <w:r>
                              <w:fldChar w:fldCharType="separate"/>
                            </w:r>
                            <w:r>
                              <w:rPr>
                                <w:noProof/>
                              </w:rPr>
                              <w:t>3</w:t>
                            </w:r>
                            <w:r>
                              <w:fldChar w:fldCharType="end"/>
                            </w:r>
                            <w:bookmarkEnd w:id="25"/>
                            <w:r>
                              <w:t xml:space="preserve"> Current clinical management algorithm for individuals planning a pregnancy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B6B62" id="Text Box 18" o:spid="_x0000_s1027" type="#_x0000_t202" alt="&quot;&quot;" style="position:absolute;margin-left:445.75pt;margin-top:5in;width:344.95pt;height:18.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hKPAIAAIIEAAAOAAAAZHJzL2Uyb0RvYy54bWysVMFuGjEQvVfqP1i+lwXSRGjFElEiqkoo&#10;iQRRzsZrs1Ztj2sbdtOv79jLkjTtqerFzM48z3jem2F+2xlNTsIHBbaik9GYEmE51MoeKvq0W3+a&#10;URIiszXTYEVFX0Sgt4uPH+atK8UUGtC18AST2FC2rqJNjK4sisAbYVgYgRMWgxK8YRE//aGoPWsx&#10;u9HFdDy+KVrwtfPARQjoveuDdJHzSyl4fJAyiEh0RfFtMZ8+n/t0Fos5Kw+euUbx8zPYP7zCMGWx&#10;6CXVHYuMHL36I5VR3EMAGUccTAFSKi5yD9jNZPyum23DnMi9IDnBXWgK/y8tvz89eqJq1A6Vssyg&#10;RjvRRfIFOoIu5Kd1oUTY1iEwduhHbO41uA3w7wEhxRtMfyEgOvHRSW/SL3ZK8CJK8HKhPZXh6Px8&#10;NRvPbq4p4RibXs0m0+tUt3i97XyIXwUYkoyKepQ1v4CdNiH20AGSigXQql4rrdNHCqy0JyeGI9A2&#10;Kopz8t9Q2iashXSrT5g8ua++ldRh7PZdz9XAyx7qF6TFQz9YwfG1wnobFuIj8zhJ2DBuR3zAQ2po&#10;Kwpni5IG/M+/+RMeBcYoJS1OZkXDjyPzghL9zaL0aYwHww/GfjDs0awAO53g3jmeTbzgox5M6cE8&#10;49IsUxUMMcuxVkXjYK5ivx+4dFwslxmEw+pY3Nit44P6iddd98y8O6sSUc97GGaWle/E6bE9y8tj&#10;BKmyconXnsUz3TjoWfvzUqZNevudUa9/HYtfAAAA//8DAFBLAwQUAAYACAAAACEAQ/SyF+EAAAAM&#10;AQAADwAAAGRycy9kb3ducmV2LnhtbEyPwU7DMAyG70i8Q2QkLoilnehWStMJNriNw8a0s9eEtqJx&#10;qiZdu7fHO8HR9qf//5yvJtuKs+l940hBPItAGCqdbqhScPj6eExB+ICksXVkFFyMh1Vxe5Njpt1I&#10;O3Peh0pwCPkMFdQhdJmUvqyNRT9znSG+fbveYuCxr6TuceRw28p5FC2kxYa4ocbOrGtT/uwHq2Cx&#10;6YdxR+uHzeF9i59dNT++XY5K3d9Nry8ggpnCHwxXfVaHgp1ObiDtRasgfY4TRhUsuQfElUjS+AnE&#10;iVfJMgFZ5PL/E8UvAAAA//8DAFBLAQItABQABgAIAAAAIQC2gziS/gAAAOEBAAATAAAAAAAAAAAA&#10;AAAAAAAAAABbQ29udGVudF9UeXBlc10ueG1sUEsBAi0AFAAGAAgAAAAhADj9If/WAAAAlAEAAAsA&#10;AAAAAAAAAAAAAAAALwEAAF9yZWxzLy5yZWxzUEsBAi0AFAAGAAgAAAAhADzI6Eo8AgAAggQAAA4A&#10;AAAAAAAAAAAAAAAALgIAAGRycy9lMm9Eb2MueG1sUEsBAi0AFAAGAAgAAAAhAEP0shfhAAAADAEA&#10;AA8AAAAAAAAAAAAAAAAAlgQAAGRycy9kb3ducmV2LnhtbFBLBQYAAAAABAAEAPMAAACkBQAAAAA=&#10;" stroked="f">
                <v:textbox inset="0,0,0,0">
                  <w:txbxContent>
                    <w:p w14:paraId="355AB2C2" w14:textId="77777777" w:rsidR="006C5509" w:rsidRPr="0019439E" w:rsidRDefault="006C5509" w:rsidP="00C255D0">
                      <w:pPr>
                        <w:pStyle w:val="Caption"/>
                        <w:spacing w:before="0"/>
                        <w:rPr>
                          <w:rFonts w:ascii="Calibri" w:eastAsia="Calibri" w:hAnsi="Calibri" w:cs="Times New Roman"/>
                          <w:noProof/>
                          <w:lang w:eastAsia="en-US"/>
                        </w:rPr>
                      </w:pPr>
                      <w:bookmarkStart w:id="27" w:name="_Ref77341816"/>
                      <w:r>
                        <w:t xml:space="preserve">Figure </w:t>
                      </w:r>
                      <w:r>
                        <w:fldChar w:fldCharType="begin"/>
                      </w:r>
                      <w:r>
                        <w:instrText xml:space="preserve"> SEQ Figure \* ARABIC </w:instrText>
                      </w:r>
                      <w:r>
                        <w:fldChar w:fldCharType="separate"/>
                      </w:r>
                      <w:r>
                        <w:rPr>
                          <w:noProof/>
                        </w:rPr>
                        <w:t>3</w:t>
                      </w:r>
                      <w:r>
                        <w:fldChar w:fldCharType="end"/>
                      </w:r>
                      <w:bookmarkEnd w:id="27"/>
                      <w:r>
                        <w:t xml:space="preserve"> Current clinical management algorithm for individuals planning a pregnancy</w:t>
                      </w:r>
                    </w:p>
                  </w:txbxContent>
                </v:textbox>
                <w10:wrap type="topAndBottom" anchorx="page"/>
              </v:shape>
            </w:pict>
          </mc:Fallback>
        </mc:AlternateContent>
      </w:r>
    </w:p>
    <w:p w14:paraId="25FA66AF" w14:textId="77777777" w:rsidR="00C255D0" w:rsidRDefault="00C255D0" w:rsidP="00C255D0">
      <w:pPr>
        <w:sectPr w:rsidR="00C255D0" w:rsidSect="00874211">
          <w:pgSz w:w="16838" w:h="11906" w:orient="landscape"/>
          <w:pgMar w:top="1440" w:right="1440" w:bottom="1440" w:left="1440" w:header="708" w:footer="708" w:gutter="0"/>
          <w:cols w:space="708"/>
          <w:docGrid w:linePitch="360"/>
        </w:sectPr>
      </w:pPr>
    </w:p>
    <w:p w14:paraId="622667B1" w14:textId="77777777" w:rsidR="00A8606D" w:rsidRPr="00791881" w:rsidRDefault="00A8606D" w:rsidP="00791881">
      <w:pPr>
        <w:rPr>
          <w:b/>
          <w:bCs/>
        </w:rPr>
      </w:pPr>
      <w:r w:rsidRPr="00791881">
        <w:rPr>
          <w:b/>
          <w:bCs/>
        </w:rPr>
        <w:lastRenderedPageBreak/>
        <w:t>Proposed clinical management algorithm for identified population</w:t>
      </w:r>
    </w:p>
    <w:p w14:paraId="590296D8" w14:textId="6A875CD3" w:rsidR="00A8606D" w:rsidRDefault="00C255D0" w:rsidP="00A8606D">
      <w:r>
        <w:rPr>
          <w:rFonts w:asciiTheme="minorHAnsi" w:hAnsiTheme="minorHAnsi" w:cstheme="minorHAnsi"/>
        </w:rPr>
        <w:t>Figure 4</w:t>
      </w:r>
      <w:r w:rsidR="00A8606D">
        <w:rPr>
          <w:rFonts w:asciiTheme="minorHAnsi" w:hAnsiTheme="minorHAnsi" w:cstheme="minorHAnsi"/>
        </w:rPr>
        <w:fldChar w:fldCharType="begin"/>
      </w:r>
      <w:r w:rsidR="00A8606D">
        <w:rPr>
          <w:rFonts w:asciiTheme="minorHAnsi" w:hAnsiTheme="minorHAnsi" w:cstheme="minorHAnsi"/>
        </w:rPr>
        <w:instrText xml:space="preserve"> REF _Ref76120413 \h </w:instrText>
      </w:r>
      <w:r w:rsidR="00A8606D">
        <w:rPr>
          <w:rFonts w:asciiTheme="minorHAnsi" w:hAnsiTheme="minorHAnsi" w:cstheme="minorHAnsi"/>
        </w:rPr>
      </w:r>
      <w:r w:rsidR="00A8606D">
        <w:rPr>
          <w:rFonts w:asciiTheme="minorHAnsi" w:hAnsiTheme="minorHAnsi" w:cstheme="minorHAnsi"/>
        </w:rPr>
        <w:fldChar w:fldCharType="end"/>
      </w:r>
      <w:r w:rsidR="00A8606D">
        <w:rPr>
          <w:rFonts w:asciiTheme="minorHAnsi" w:hAnsiTheme="minorHAnsi" w:cstheme="minorHAnsi"/>
        </w:rPr>
        <w:t xml:space="preserve"> to </w:t>
      </w:r>
      <w:r w:rsidR="00A8606D">
        <w:rPr>
          <w:rFonts w:asciiTheme="minorHAnsi" w:hAnsiTheme="minorHAnsi" w:cstheme="minorHAnsi"/>
        </w:rPr>
        <w:fldChar w:fldCharType="begin"/>
      </w:r>
      <w:r w:rsidR="00A8606D">
        <w:rPr>
          <w:rFonts w:asciiTheme="minorHAnsi" w:hAnsiTheme="minorHAnsi" w:cstheme="minorHAnsi"/>
        </w:rPr>
        <w:instrText xml:space="preserve"> REF _Ref76120419 \h </w:instrText>
      </w:r>
      <w:r w:rsidR="00A8606D">
        <w:rPr>
          <w:rFonts w:asciiTheme="minorHAnsi" w:hAnsiTheme="minorHAnsi" w:cstheme="minorHAnsi"/>
        </w:rPr>
      </w:r>
      <w:r w:rsidR="00A8606D">
        <w:rPr>
          <w:rFonts w:asciiTheme="minorHAnsi" w:hAnsiTheme="minorHAnsi" w:cstheme="minorHAnsi"/>
        </w:rPr>
        <w:fldChar w:fldCharType="end"/>
      </w:r>
      <w:r w:rsidR="00391A22">
        <w:rPr>
          <w:rFonts w:asciiTheme="minorHAnsi" w:hAnsiTheme="minorHAnsi" w:cstheme="minorHAnsi"/>
        </w:rPr>
        <w:fldChar w:fldCharType="begin"/>
      </w:r>
      <w:r w:rsidR="00391A22">
        <w:rPr>
          <w:rFonts w:asciiTheme="minorHAnsi" w:hAnsiTheme="minorHAnsi" w:cstheme="minorHAnsi"/>
        </w:rPr>
        <w:instrText xml:space="preserve"> REF _Ref77348910 \h </w:instrText>
      </w:r>
      <w:r w:rsidR="00391A22">
        <w:rPr>
          <w:rFonts w:asciiTheme="minorHAnsi" w:hAnsiTheme="minorHAnsi" w:cstheme="minorHAnsi"/>
        </w:rPr>
      </w:r>
      <w:r w:rsidR="00391A22">
        <w:rPr>
          <w:rFonts w:asciiTheme="minorHAnsi" w:hAnsiTheme="minorHAnsi" w:cstheme="minorHAnsi"/>
        </w:rPr>
        <w:fldChar w:fldCharType="separate"/>
      </w:r>
      <w:r w:rsidR="00391A22">
        <w:t xml:space="preserve">Figure </w:t>
      </w:r>
      <w:r w:rsidR="00391A22">
        <w:rPr>
          <w:noProof/>
        </w:rPr>
        <w:t>6</w:t>
      </w:r>
      <w:r w:rsidR="00391A22">
        <w:rPr>
          <w:rFonts w:asciiTheme="minorHAnsi" w:hAnsiTheme="minorHAnsi" w:cstheme="minorHAnsi"/>
        </w:rPr>
        <w:fldChar w:fldCharType="end"/>
      </w:r>
      <w:r w:rsidR="00A8606D">
        <w:rPr>
          <w:rFonts w:asciiTheme="minorHAnsi" w:hAnsiTheme="minorHAnsi" w:cstheme="minorHAnsi"/>
        </w:rPr>
        <w:t xml:space="preserve"> present the proposed clinical management algorithm</w:t>
      </w:r>
      <w:r w:rsidR="00002AE8">
        <w:rPr>
          <w:rFonts w:asciiTheme="minorHAnsi" w:hAnsiTheme="minorHAnsi" w:cstheme="minorHAnsi"/>
        </w:rPr>
        <w:t>s</w:t>
      </w:r>
      <w:r w:rsidR="00A8606D">
        <w:rPr>
          <w:rFonts w:asciiTheme="minorHAnsi" w:hAnsiTheme="minorHAnsi" w:cstheme="minorHAnsi"/>
        </w:rPr>
        <w:t xml:space="preserve"> for </w:t>
      </w:r>
      <w:r w:rsidR="00A8606D" w:rsidRPr="00E903F8">
        <w:t xml:space="preserve">genetic carrier </w:t>
      </w:r>
      <w:r w:rsidR="00A8606D">
        <w:t>testing</w:t>
      </w:r>
      <w:r w:rsidR="00A8606D" w:rsidRPr="00E903F8">
        <w:t xml:space="preserve"> </w:t>
      </w:r>
      <w:r w:rsidR="00A8606D">
        <w:t>for</w:t>
      </w:r>
      <w:r w:rsidR="00A8606D" w:rsidRPr="00E903F8">
        <w:t xml:space="preserve"> </w:t>
      </w:r>
      <w:r w:rsidR="00A8606D">
        <w:t>autosomal recessive monogenic diseases</w:t>
      </w:r>
      <w:r w:rsidR="00A8606D" w:rsidRPr="00E903F8">
        <w:t xml:space="preserve"> </w:t>
      </w:r>
      <w:r w:rsidR="00A8606D">
        <w:t>for</w:t>
      </w:r>
      <w:r w:rsidR="00A8606D" w:rsidRPr="00E903F8">
        <w:t xml:space="preserve"> </w:t>
      </w:r>
      <w:r w:rsidR="00A8606D">
        <w:t xml:space="preserve">the population of interest. </w:t>
      </w:r>
      <w:r w:rsidR="00A8606D" w:rsidRPr="00FA0CBA">
        <w:t xml:space="preserve">The difference between the current and proposed clinical algorithm is </w:t>
      </w:r>
      <w:r w:rsidR="00A8606D">
        <w:t xml:space="preserve">access </w:t>
      </w:r>
      <w:r w:rsidR="00D02371">
        <w:t xml:space="preserve">of the populations of interest </w:t>
      </w:r>
      <w:r w:rsidR="00A8606D">
        <w:t xml:space="preserve">to </w:t>
      </w:r>
      <w:r w:rsidR="00A8606D" w:rsidRPr="00FA0CBA">
        <w:t xml:space="preserve">genetic carrier </w:t>
      </w:r>
      <w:r w:rsidR="00A8606D">
        <w:t>testing</w:t>
      </w:r>
      <w:r w:rsidR="00A8606D" w:rsidRPr="00FA0CBA">
        <w:t xml:space="preserve"> </w:t>
      </w:r>
      <w:r w:rsidR="00D02371">
        <w:t xml:space="preserve">for severe monogenic conditions such as TSD, in addition to CF, SMA and FXS, </w:t>
      </w:r>
      <w:r w:rsidR="00A8606D">
        <w:t xml:space="preserve">that is </w:t>
      </w:r>
      <w:r w:rsidR="00A8606D" w:rsidRPr="00FA0CBA">
        <w:t>MBS</w:t>
      </w:r>
      <w:r w:rsidR="00A8606D">
        <w:t>-</w:t>
      </w:r>
      <w:r w:rsidR="00A8606D" w:rsidRPr="00FA0CBA">
        <w:t xml:space="preserve">subsidised </w:t>
      </w:r>
      <w:r w:rsidR="00A8606D">
        <w:t>(</w:t>
      </w:r>
      <w:r w:rsidR="00A8606D">
        <w:rPr>
          <w:rFonts w:asciiTheme="minorHAnsi" w:hAnsiTheme="minorHAnsi" w:cstheme="minorHAnsi"/>
        </w:rPr>
        <w:t>proposed clinical management algorithm)</w:t>
      </w:r>
      <w:r w:rsidR="00A8606D">
        <w:t>.</w:t>
      </w:r>
      <w:r w:rsidR="00D02371">
        <w:t xml:space="preserve"> </w:t>
      </w:r>
    </w:p>
    <w:p w14:paraId="6F352385" w14:textId="77777777" w:rsidR="00A3203B" w:rsidRDefault="00A3203B" w:rsidP="00A8606D"/>
    <w:p w14:paraId="7664D94C" w14:textId="0C84AD8C" w:rsidR="00A8606D" w:rsidRDefault="00A8606D" w:rsidP="00A8606D">
      <w:pPr>
        <w:sectPr w:rsidR="00A8606D">
          <w:pgSz w:w="11906" w:h="16838"/>
          <w:pgMar w:top="1440" w:right="1440" w:bottom="1440" w:left="1440" w:header="708" w:footer="708" w:gutter="0"/>
          <w:cols w:space="708"/>
          <w:docGrid w:linePitch="360"/>
        </w:sectPr>
      </w:pPr>
    </w:p>
    <w:p w14:paraId="474EE607" w14:textId="312FB246" w:rsidR="00A8606D" w:rsidRDefault="00C515B7" w:rsidP="00A8606D">
      <w:pPr>
        <w:rPr>
          <w:noProof/>
        </w:rPr>
      </w:pPr>
      <w:r>
        <w:rPr>
          <w:noProof/>
          <w:lang w:eastAsia="en-AU"/>
        </w:rPr>
        <w:lastRenderedPageBreak/>
        <mc:AlternateContent>
          <mc:Choice Requires="wps">
            <w:drawing>
              <wp:anchor distT="45720" distB="45720" distL="114300" distR="114300" simplePos="0" relativeHeight="251703296" behindDoc="0" locked="0" layoutInCell="1" allowOverlap="1" wp14:anchorId="0D090194" wp14:editId="2AA3AEEB">
                <wp:simplePos x="0" y="0"/>
                <wp:positionH relativeFrom="column">
                  <wp:posOffset>34925</wp:posOffset>
                </wp:positionH>
                <wp:positionV relativeFrom="paragraph">
                  <wp:posOffset>4959985</wp:posOffset>
                </wp:positionV>
                <wp:extent cx="8968105" cy="897890"/>
                <wp:effectExtent l="0" t="0" r="0" b="0"/>
                <wp:wrapTopAndBottom/>
                <wp:docPr id="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8105" cy="897890"/>
                        </a:xfrm>
                        <a:prstGeom prst="rect">
                          <a:avLst/>
                        </a:prstGeom>
                        <a:solidFill>
                          <a:srgbClr val="FFFFFF"/>
                        </a:solidFill>
                        <a:ln w="9525">
                          <a:noFill/>
                          <a:miter lim="800000"/>
                          <a:headEnd/>
                          <a:tailEnd/>
                        </a:ln>
                      </wps:spPr>
                      <wps:txbx>
                        <w:txbxContent>
                          <w:p w14:paraId="5B0777F5" w14:textId="4E4A066E" w:rsidR="006C5509" w:rsidRDefault="006C5509" w:rsidP="00A8606D">
                            <w:pPr>
                              <w:spacing w:after="0"/>
                              <w:rPr>
                                <w:rFonts w:ascii="Helvetica" w:hAnsi="Helvetica"/>
                                <w:sz w:val="16"/>
                                <w:szCs w:val="16"/>
                              </w:rPr>
                            </w:pPr>
                            <w:r>
                              <w:rPr>
                                <w:rFonts w:ascii="Helvetica" w:hAnsi="Helvetica"/>
                                <w:sz w:val="16"/>
                                <w:szCs w:val="16"/>
                              </w:rPr>
                              <w:t>*</w:t>
                            </w:r>
                            <w:r w:rsidRPr="00D73793">
                              <w:rPr>
                                <w:rFonts w:ascii="Helvetica" w:hAnsi="Helvetica"/>
                                <w:sz w:val="16"/>
                                <w:szCs w:val="16"/>
                              </w:rPr>
                              <w:t xml:space="preserve">Note: </w:t>
                            </w:r>
                            <w:r>
                              <w:rPr>
                                <w:rFonts w:ascii="Helvetica" w:hAnsi="Helvetica"/>
                                <w:sz w:val="16"/>
                                <w:szCs w:val="16"/>
                              </w:rPr>
                              <w:t>Individuals</w:t>
                            </w:r>
                            <w:r w:rsidRPr="00D73793">
                              <w:rPr>
                                <w:rFonts w:ascii="Helvetica" w:hAnsi="Helvetica"/>
                                <w:sz w:val="16"/>
                                <w:szCs w:val="16"/>
                              </w:rPr>
                              <w:t xml:space="preserve"> </w:t>
                            </w:r>
                            <w:r>
                              <w:rPr>
                                <w:rFonts w:ascii="Helvetica" w:hAnsi="Helvetica"/>
                                <w:sz w:val="16"/>
                                <w:szCs w:val="16"/>
                              </w:rPr>
                              <w:t xml:space="preserve">who are pregnant or planning a pregnancy </w:t>
                            </w:r>
                            <w:r w:rsidRPr="00D73793">
                              <w:rPr>
                                <w:rFonts w:ascii="Helvetica" w:hAnsi="Helvetica"/>
                                <w:sz w:val="16"/>
                                <w:szCs w:val="16"/>
                              </w:rPr>
                              <w:t>are eligible for the genetic carrier testing only if they have a &gt;10% a priori aggregate personal risk of being a heterozygous genetic carrier of a clinically significant disorder associated with pathogenic or likely pathogenic variants of the genes in the testing panel</w:t>
                            </w:r>
                            <w:r>
                              <w:rPr>
                                <w:rFonts w:ascii="Helvetica" w:hAnsi="Helvetica"/>
                                <w:sz w:val="16"/>
                                <w:szCs w:val="16"/>
                              </w:rPr>
                              <w:t>.</w:t>
                            </w:r>
                            <w:r w:rsidRPr="00DE1A63">
                              <w:rPr>
                                <w:rFonts w:ascii="Helvetica" w:hAnsi="Helvetica"/>
                                <w:sz w:val="16"/>
                                <w:szCs w:val="16"/>
                              </w:rPr>
                              <w:t xml:space="preserve"> </w:t>
                            </w:r>
                            <w:r>
                              <w:rPr>
                                <w:rFonts w:ascii="Helvetica" w:hAnsi="Helvetica"/>
                                <w:sz w:val="16"/>
                                <w:szCs w:val="16"/>
                              </w:rPr>
                              <w:t xml:space="preserve">Reproductive partners are eligible for the test only if their partner has the &gt;10% a priori aggregate personal risk of being a </w:t>
                            </w:r>
                            <w:r w:rsidRPr="00D73793">
                              <w:rPr>
                                <w:rFonts w:ascii="Helvetica" w:hAnsi="Helvetica"/>
                                <w:sz w:val="16"/>
                                <w:szCs w:val="16"/>
                              </w:rPr>
                              <w:t>heterozygous genetic carrier of a clinically significant disorder associated with pathogenic or likely pathogenic variants of the genes in the testing panel</w:t>
                            </w:r>
                            <w:r>
                              <w:rPr>
                                <w:rFonts w:ascii="Helvetica" w:hAnsi="Helvetica"/>
                                <w:sz w:val="16"/>
                                <w:szCs w:val="16"/>
                              </w:rPr>
                              <w:t>.</w:t>
                            </w:r>
                            <w:r w:rsidRPr="00D73793">
                              <w:rPr>
                                <w:rFonts w:ascii="Helvetica" w:hAnsi="Helvetica"/>
                                <w:sz w:val="16"/>
                                <w:szCs w:val="16"/>
                              </w:rPr>
                              <w:t xml:space="preserve"> </w:t>
                            </w:r>
                            <w:r>
                              <w:rPr>
                                <w:rFonts w:ascii="Helvetica" w:hAnsi="Helvetica"/>
                                <w:sz w:val="16"/>
                                <w:szCs w:val="16"/>
                              </w:rPr>
                              <w:br/>
                            </w:r>
                            <w:r w:rsidRPr="00651232">
                              <w:rPr>
                                <w:rFonts w:ascii="Helvetica" w:hAnsi="Helvetica"/>
                                <w:sz w:val="18"/>
                                <w:szCs w:val="18"/>
                                <w:vertAlign w:val="superscript"/>
                              </w:rPr>
                              <w:t>#</w:t>
                            </w:r>
                            <w:r>
                              <w:rPr>
                                <w:rFonts w:ascii="Helvetica" w:hAnsi="Helvetica"/>
                                <w:sz w:val="16"/>
                                <w:szCs w:val="16"/>
                              </w:rPr>
                              <w:t>Testing of first-degree biological relatives for the familial gene variant is recommended when the individual is found to be a carrier.</w:t>
                            </w:r>
                          </w:p>
                          <w:p w14:paraId="4891EA1D" w14:textId="77777777" w:rsidR="006C5509" w:rsidRPr="00D73793" w:rsidRDefault="006C5509" w:rsidP="00A8606D">
                            <w:pPr>
                              <w:rPr>
                                <w:rFonts w:ascii="Helvetica" w:hAnsi="Helvetica"/>
                                <w:sz w:val="16"/>
                                <w:szCs w:val="16"/>
                              </w:rPr>
                            </w:pPr>
                            <w:r>
                              <w:rPr>
                                <w:rFonts w:ascii="Helvetica" w:hAnsi="Helvetica"/>
                                <w:sz w:val="16"/>
                                <w:szCs w:val="16"/>
                              </w:rPr>
                              <w:t>CVS=chorionic villus sampling; GP=general practitioner; IVF=in vitro fertilisation; MBS=Medical Benefits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90194" id="_x0000_s1028" type="#_x0000_t202" alt="&quot;&quot;" style="position:absolute;margin-left:2.75pt;margin-top:390.55pt;width:706.15pt;height:70.7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hPIgIAACMEAAAOAAAAZHJzL2Uyb0RvYy54bWysU9uO2yAQfa/Uf0C8N3asZJNYcVbbbFNV&#10;2l6k3X4AxjhGBYYCiZ1+fQecpNH2rSoPiGGGw5kzM+v7QStyFM5LMBWdTnJKhOHQSLOv6PeX3bsl&#10;JT4w0zAFRlT0JDy937x9s+5tKQroQDXCEQQxvuxtRbsQbJllnndCMz8BKww6W3CaBTTdPmsc6xFd&#10;q6zI87usB9dYB1x4j7ePo5NuEn7bCh6+tq0XgaiKIreQdpf2Ou7ZZs3KvWO2k/xMg/0DC82kwU+v&#10;UI8sMHJw8i8oLbkDD22YcNAZtK3kIuWA2UzzV9k8d8yKlAuK4+1VJv//YPmX4zdHZFPRYkGJYRpr&#10;9CKGQN7DQIooT299iVHPFuPCgNdY5pSqt0/Af3hiYNsxsxcPzkHfCdYgvWl8md08HXF8BKn7z9Dg&#10;N+wQIAENrdNRO1SDIDqW6XQtTaTC8XK5ultO8zklHH3L1WK5SrXLWHl5bZ0PHwVoEg8VdVj6hM6O&#10;Tz5ENqy8hMTPPCjZ7KRSyXD7eqscOTJsk11aKYFXYcqQvqKreTFPyAbi+9RBWgZsYyU1ksvjGhsr&#10;qvHBNCkkMKnGMzJR5ixPVGTUJgz1MBbionoNzQn1cjB2LU4ZHjpwvyjpsWMr6n8emBOUqE8GNV9N&#10;Z7PY4smYzRcFGu7WU996mOEIVdFAyXjchjQWUQ4DD1ibVibZYhFHJmfK2IlJzfPUxFa/tVPUn9ne&#10;/AYAAP//AwBQSwMEFAAGAAgAAAAhAJGQnobeAAAACgEAAA8AAABkcnMvZG93bnJldi54bWxMj8Fu&#10;gzAQRO+V+g/WVuqlagwohISwRG2lVr0mzQcs2AEUvEbYCeTv65za42hGM2+K3Wx6cdWj6ywjxIsI&#10;hObaqo4bhOPP5+sahPPEinrLGuGmHezKx4eCcmUn3uvrwTcilLDLCaH1fsildHWrDbmFHTQH72RH&#10;Qz7IsZFqpCmUm14mUbSShjoOCy0N+qPV9flwMQin7+kl3UzVlz9m++XqnbqssjfE56f5bQvC69n/&#10;heGOH9ChDEyVvbByokdI0xBEyNZxDOLuL+MsfKkQNkmSgiwL+f9C+QsAAP//AwBQSwECLQAUAAYA&#10;CAAAACEAtoM4kv4AAADhAQAAEwAAAAAAAAAAAAAAAAAAAAAAW0NvbnRlbnRfVHlwZXNdLnhtbFBL&#10;AQItABQABgAIAAAAIQA4/SH/1gAAAJQBAAALAAAAAAAAAAAAAAAAAC8BAABfcmVscy8ucmVsc1BL&#10;AQItABQABgAIAAAAIQDC3lhPIgIAACMEAAAOAAAAAAAAAAAAAAAAAC4CAABkcnMvZTJvRG9jLnht&#10;bFBLAQItABQABgAIAAAAIQCRkJ6G3gAAAAoBAAAPAAAAAAAAAAAAAAAAAHwEAABkcnMvZG93bnJl&#10;di54bWxQSwUGAAAAAAQABADzAAAAhwUAAAAA&#10;" stroked="f">
                <v:textbox>
                  <w:txbxContent>
                    <w:p w14:paraId="5B0777F5" w14:textId="4E4A066E" w:rsidR="006C5509" w:rsidRDefault="006C5509" w:rsidP="00A8606D">
                      <w:pPr>
                        <w:spacing w:after="0"/>
                        <w:rPr>
                          <w:rFonts w:ascii="Helvetica" w:hAnsi="Helvetica"/>
                          <w:sz w:val="16"/>
                          <w:szCs w:val="16"/>
                        </w:rPr>
                      </w:pPr>
                      <w:r>
                        <w:rPr>
                          <w:rFonts w:ascii="Helvetica" w:hAnsi="Helvetica"/>
                          <w:sz w:val="16"/>
                          <w:szCs w:val="16"/>
                        </w:rPr>
                        <w:t>*</w:t>
                      </w:r>
                      <w:r w:rsidRPr="00D73793">
                        <w:rPr>
                          <w:rFonts w:ascii="Helvetica" w:hAnsi="Helvetica"/>
                          <w:sz w:val="16"/>
                          <w:szCs w:val="16"/>
                        </w:rPr>
                        <w:t xml:space="preserve">Note: </w:t>
                      </w:r>
                      <w:r>
                        <w:rPr>
                          <w:rFonts w:ascii="Helvetica" w:hAnsi="Helvetica"/>
                          <w:sz w:val="16"/>
                          <w:szCs w:val="16"/>
                        </w:rPr>
                        <w:t>Individuals</w:t>
                      </w:r>
                      <w:r w:rsidRPr="00D73793">
                        <w:rPr>
                          <w:rFonts w:ascii="Helvetica" w:hAnsi="Helvetica"/>
                          <w:sz w:val="16"/>
                          <w:szCs w:val="16"/>
                        </w:rPr>
                        <w:t xml:space="preserve"> </w:t>
                      </w:r>
                      <w:r>
                        <w:rPr>
                          <w:rFonts w:ascii="Helvetica" w:hAnsi="Helvetica"/>
                          <w:sz w:val="16"/>
                          <w:szCs w:val="16"/>
                        </w:rPr>
                        <w:t xml:space="preserve">who are pregnant or planning a pregnancy </w:t>
                      </w:r>
                      <w:r w:rsidRPr="00D73793">
                        <w:rPr>
                          <w:rFonts w:ascii="Helvetica" w:hAnsi="Helvetica"/>
                          <w:sz w:val="16"/>
                          <w:szCs w:val="16"/>
                        </w:rPr>
                        <w:t>are eligible for the genetic carrier testing only if they have a &gt;10% a priori aggregate personal risk of being a heterozygous genetic carrier of a clinically significant disorder associated with pathogenic or likely pathogenic variants of the genes in the testing panel</w:t>
                      </w:r>
                      <w:r>
                        <w:rPr>
                          <w:rFonts w:ascii="Helvetica" w:hAnsi="Helvetica"/>
                          <w:sz w:val="16"/>
                          <w:szCs w:val="16"/>
                        </w:rPr>
                        <w:t>.</w:t>
                      </w:r>
                      <w:r w:rsidRPr="00DE1A63">
                        <w:rPr>
                          <w:rFonts w:ascii="Helvetica" w:hAnsi="Helvetica"/>
                          <w:sz w:val="16"/>
                          <w:szCs w:val="16"/>
                        </w:rPr>
                        <w:t xml:space="preserve"> </w:t>
                      </w:r>
                      <w:r>
                        <w:rPr>
                          <w:rFonts w:ascii="Helvetica" w:hAnsi="Helvetica"/>
                          <w:sz w:val="16"/>
                          <w:szCs w:val="16"/>
                        </w:rPr>
                        <w:t xml:space="preserve">Reproductive partners are eligible for the test only if their partner has the &gt;10% a priori aggregate personal risk of being a </w:t>
                      </w:r>
                      <w:r w:rsidRPr="00D73793">
                        <w:rPr>
                          <w:rFonts w:ascii="Helvetica" w:hAnsi="Helvetica"/>
                          <w:sz w:val="16"/>
                          <w:szCs w:val="16"/>
                        </w:rPr>
                        <w:t>heterozygous genetic carrier of a clinically significant disorder associated with pathogenic or likely pathogenic variants of the genes in the testing panel</w:t>
                      </w:r>
                      <w:r>
                        <w:rPr>
                          <w:rFonts w:ascii="Helvetica" w:hAnsi="Helvetica"/>
                          <w:sz w:val="16"/>
                          <w:szCs w:val="16"/>
                        </w:rPr>
                        <w:t>.</w:t>
                      </w:r>
                      <w:r w:rsidRPr="00D73793">
                        <w:rPr>
                          <w:rFonts w:ascii="Helvetica" w:hAnsi="Helvetica"/>
                          <w:sz w:val="16"/>
                          <w:szCs w:val="16"/>
                        </w:rPr>
                        <w:t xml:space="preserve"> </w:t>
                      </w:r>
                      <w:r>
                        <w:rPr>
                          <w:rFonts w:ascii="Helvetica" w:hAnsi="Helvetica"/>
                          <w:sz w:val="16"/>
                          <w:szCs w:val="16"/>
                        </w:rPr>
                        <w:br/>
                      </w:r>
                      <w:r w:rsidRPr="00651232">
                        <w:rPr>
                          <w:rFonts w:ascii="Helvetica" w:hAnsi="Helvetica"/>
                          <w:sz w:val="18"/>
                          <w:szCs w:val="18"/>
                          <w:vertAlign w:val="superscript"/>
                        </w:rPr>
                        <w:t>#</w:t>
                      </w:r>
                      <w:r>
                        <w:rPr>
                          <w:rFonts w:ascii="Helvetica" w:hAnsi="Helvetica"/>
                          <w:sz w:val="16"/>
                          <w:szCs w:val="16"/>
                        </w:rPr>
                        <w:t>Testing of first-degree biological relatives for the familial gene variant is recommended when the individual is found to be a carrier.</w:t>
                      </w:r>
                    </w:p>
                    <w:p w14:paraId="4891EA1D" w14:textId="77777777" w:rsidR="006C5509" w:rsidRPr="00D73793" w:rsidRDefault="006C5509" w:rsidP="00A8606D">
                      <w:pPr>
                        <w:rPr>
                          <w:rFonts w:ascii="Helvetica" w:hAnsi="Helvetica"/>
                          <w:sz w:val="16"/>
                          <w:szCs w:val="16"/>
                        </w:rPr>
                      </w:pPr>
                      <w:r>
                        <w:rPr>
                          <w:rFonts w:ascii="Helvetica" w:hAnsi="Helvetica"/>
                          <w:sz w:val="16"/>
                          <w:szCs w:val="16"/>
                        </w:rPr>
                        <w:t>CVS=chorionic villus sampling; GP=general practitioner; IVF=in vitro fertilisation; MBS=Medical Benefits Schedule</w:t>
                      </w:r>
                    </w:p>
                  </w:txbxContent>
                </v:textbox>
                <w10:wrap type="topAndBottom"/>
              </v:shape>
            </w:pict>
          </mc:Fallback>
        </mc:AlternateContent>
      </w:r>
      <w:r w:rsidR="00DE1A63">
        <w:rPr>
          <w:noProof/>
          <w:lang w:eastAsia="en-AU"/>
        </w:rPr>
        <w:drawing>
          <wp:anchor distT="0" distB="0" distL="114300" distR="114300" simplePos="0" relativeHeight="251706368" behindDoc="0" locked="0" layoutInCell="1" allowOverlap="1" wp14:anchorId="1FD1349B" wp14:editId="647A2ACF">
            <wp:simplePos x="0" y="0"/>
            <wp:positionH relativeFrom="column">
              <wp:posOffset>4940935</wp:posOffset>
            </wp:positionH>
            <wp:positionV relativeFrom="paragraph">
              <wp:posOffset>459740</wp:posOffset>
            </wp:positionV>
            <wp:extent cx="4261485" cy="4512310"/>
            <wp:effectExtent l="0" t="0" r="5715" b="2540"/>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4261485" cy="4512310"/>
                    </a:xfrm>
                    <a:prstGeom prst="rect">
                      <a:avLst/>
                    </a:prstGeom>
                  </pic:spPr>
                </pic:pic>
              </a:graphicData>
            </a:graphic>
            <wp14:sizeRelH relativeFrom="page">
              <wp14:pctWidth>0</wp14:pctWidth>
            </wp14:sizeRelH>
            <wp14:sizeRelV relativeFrom="page">
              <wp14:pctHeight>0</wp14:pctHeight>
            </wp14:sizeRelV>
          </wp:anchor>
        </w:drawing>
      </w:r>
      <w:r w:rsidR="00DE1A63">
        <w:rPr>
          <w:noProof/>
          <w:lang w:eastAsia="en-AU"/>
        </w:rPr>
        <w:drawing>
          <wp:anchor distT="0" distB="0" distL="114300" distR="114300" simplePos="0" relativeHeight="251705344" behindDoc="0" locked="0" layoutInCell="1" allowOverlap="1" wp14:anchorId="614C894F" wp14:editId="3DC9454E">
            <wp:simplePos x="0" y="0"/>
            <wp:positionH relativeFrom="column">
              <wp:posOffset>74295</wp:posOffset>
            </wp:positionH>
            <wp:positionV relativeFrom="paragraph">
              <wp:posOffset>274955</wp:posOffset>
            </wp:positionV>
            <wp:extent cx="4720590" cy="4720590"/>
            <wp:effectExtent l="0" t="0" r="3810" b="3810"/>
            <wp:wrapTopAndBottom/>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4720590" cy="47205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02272" behindDoc="0" locked="0" layoutInCell="1" allowOverlap="1" wp14:anchorId="2DD64F77" wp14:editId="6D748FB5">
                <wp:simplePos x="0" y="0"/>
                <wp:positionH relativeFrom="margin">
                  <wp:align>left</wp:align>
                </wp:positionH>
                <wp:positionV relativeFrom="paragraph">
                  <wp:posOffset>86360</wp:posOffset>
                </wp:positionV>
                <wp:extent cx="4603750" cy="238125"/>
                <wp:effectExtent l="0" t="0" r="0" b="0"/>
                <wp:wrapTopAndBottom/>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0" cy="238125"/>
                        </a:xfrm>
                        <a:prstGeom prst="rect">
                          <a:avLst/>
                        </a:prstGeom>
                        <a:solidFill>
                          <a:prstClr val="white"/>
                        </a:solidFill>
                        <a:ln>
                          <a:noFill/>
                        </a:ln>
                      </wps:spPr>
                      <wps:txbx>
                        <w:txbxContent>
                          <w:p w14:paraId="20CF3AE5" w14:textId="77777777" w:rsidR="006C5509" w:rsidRPr="00243DB9" w:rsidRDefault="006C5509" w:rsidP="00391A22">
                            <w:pPr>
                              <w:pStyle w:val="Caption"/>
                              <w:spacing w:before="0"/>
                              <w:rPr>
                                <w:rFonts w:ascii="Calibri" w:eastAsia="MS Gothic" w:hAnsi="Calibri" w:cs="Times New Roman"/>
                                <w:bCs/>
                                <w:i/>
                                <w:noProof/>
                                <w:color w:val="548DD4"/>
                                <w:sz w:val="22"/>
                                <w:u w:val="single"/>
                                <w:lang w:eastAsia="en-US"/>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7519C9">
                              <w:t xml:space="preserve">Proposed clinical management algorithm for </w:t>
                            </w:r>
                            <w:r>
                              <w:t>couples in early stages of pregnancy</w:t>
                            </w:r>
                            <w:r w:rsidRPr="007519C9">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4F77" id="Text Box 28" o:spid="_x0000_s1029" type="#_x0000_t202" alt="&quot;&quot;" style="position:absolute;margin-left:0;margin-top:6.8pt;width:362.5pt;height:18.7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rPPQIAAIIEAAAOAAAAZHJzL2Uyb0RvYy54bWysVE1v2zAMvQ/YfxB0X5yPtSuMOkWWIsOA&#10;oC2QDD0rshQLk0RNUmJnv36UHKddt9Owi0KTT6T4Hpnbu85ochQ+KLAVnYzGlAjLoVZ2X9Fv29WH&#10;G0pCZLZmGqyo6EkEejd//+62daWYQgO6Fp5gEhvK1lW0idGVRRF4IwwLI3DCYlCCNyzip98XtWct&#10;Zje6mI7H10ULvnYeuAgBvfd9kM5zfikFj49SBhGJrii+LebT53OXzmJ+y8q9Z65R/PwM9g+vMExZ&#10;LHpJdc8iIwev/khlFPcQQMYRB1OAlIqL3AN2Mxm/6WbTMCdyL0hOcBeawv9Lyx+OT56ouqJTVMoy&#10;gxptRRfJZ+gIupCf1oUSYRuHwNihH3XOvQa3Bv49IKR4hekvBEQnPjrpTfrFTgleRAlOF9pTGY7O&#10;j9fj2acrDHGMTWc3k+lVqlu83HY+xC8CDElGRT3Kml/AjusQe+gAScUCaFWvlNbpIwWW2pMjwxFo&#10;GxXFOflvKG0T1kK61SdMntxX30rqMHa7LnM1G3jZQX1CWjz0gxUcXymst2YhPjGPk4Rd4XbERzyk&#10;hraicLYoacD//Js/4VFgjFLS4mRWNPw4MC8o0V8tSp/GeDD8YOwGwx7MErDTCe6d49nECz7qwZQe&#10;zDMuzSJVwRCzHGtVNA7mMvb7gUvHxWKRQTisjsW13Tg+qJ943XbPzLuzKhH1fIBhZln5Rpwe27O8&#10;OESQKiuXeO1ZPNONg561Py9l2qTX3xn18tcx/wUAAP//AwBQSwMEFAAGAAgAAAAhAIWZ9VLcAAAA&#10;BgEAAA8AAABkcnMvZG93bnJldi54bWxMj8FOwzAQRO9I/IO1SFwQdRLUgEKcClq4waGl6tmNlyQi&#10;Xke206R/z3Kix5lZzbwtV7PtxQl96BwpSBcJCKTamY4aBfuv9/snECFqMrp3hArOGGBVXV+VujBu&#10;oi2edrERXEKh0AraGIdCylC3aHVYuAGJs2/nrY4sfSON1xOX215mSZJLqzvihVYPuG6x/tmNVkG+&#10;8eO0pfXdZv/2oT+HJju8ng9K3d7ML88gIs7x/xj+8BkdKmY6upFMEL0CfiSy+5CD4PQxW7JxVLBM&#10;U5BVKS/xq18AAAD//wMAUEsBAi0AFAAGAAgAAAAhALaDOJL+AAAA4QEAABMAAAAAAAAAAAAAAAAA&#10;AAAAAFtDb250ZW50X1R5cGVzXS54bWxQSwECLQAUAAYACAAAACEAOP0h/9YAAACUAQAACwAAAAAA&#10;AAAAAAAAAAAvAQAAX3JlbHMvLnJlbHNQSwECLQAUAAYACAAAACEApeoqzz0CAACCBAAADgAAAAAA&#10;AAAAAAAAAAAuAgAAZHJzL2Uyb0RvYy54bWxQSwECLQAUAAYACAAAACEAhZn1UtwAAAAGAQAADwAA&#10;AAAAAAAAAAAAAACXBAAAZHJzL2Rvd25yZXYueG1sUEsFBgAAAAAEAAQA8wAAAKAFAAAAAA==&#10;" stroked="f">
                <v:textbox inset="0,0,0,0">
                  <w:txbxContent>
                    <w:p w14:paraId="20CF3AE5" w14:textId="77777777" w:rsidR="006C5509" w:rsidRPr="00243DB9" w:rsidRDefault="006C5509" w:rsidP="00391A22">
                      <w:pPr>
                        <w:pStyle w:val="Caption"/>
                        <w:spacing w:before="0"/>
                        <w:rPr>
                          <w:rFonts w:ascii="Calibri" w:eastAsia="MS Gothic" w:hAnsi="Calibri" w:cs="Times New Roman"/>
                          <w:bCs/>
                          <w:i/>
                          <w:noProof/>
                          <w:color w:val="548DD4"/>
                          <w:sz w:val="22"/>
                          <w:u w:val="single"/>
                          <w:lang w:eastAsia="en-US"/>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7519C9">
                        <w:t xml:space="preserve">Proposed clinical management algorithm for </w:t>
                      </w:r>
                      <w:r>
                        <w:t>couples in early stages of pregnancy</w:t>
                      </w:r>
                      <w:r w:rsidRPr="007519C9">
                        <w:t xml:space="preserve"> </w:t>
                      </w:r>
                    </w:p>
                  </w:txbxContent>
                </v:textbox>
                <w10:wrap type="topAndBottom" anchorx="margin"/>
              </v:shape>
            </w:pict>
          </mc:Fallback>
        </mc:AlternateContent>
      </w:r>
      <w:r>
        <w:rPr>
          <w:noProof/>
          <w:lang w:eastAsia="en-AU"/>
        </w:rPr>
        <mc:AlternateContent>
          <mc:Choice Requires="wps">
            <w:drawing>
              <wp:anchor distT="0" distB="0" distL="114300" distR="114300" simplePos="0" relativeHeight="251704320" behindDoc="0" locked="0" layoutInCell="1" allowOverlap="1" wp14:anchorId="00404944" wp14:editId="2BBA12CF">
                <wp:simplePos x="0" y="0"/>
                <wp:positionH relativeFrom="column">
                  <wp:posOffset>4821555</wp:posOffset>
                </wp:positionH>
                <wp:positionV relativeFrom="paragraph">
                  <wp:posOffset>70485</wp:posOffset>
                </wp:positionV>
                <wp:extent cx="4490085" cy="294005"/>
                <wp:effectExtent l="0" t="0" r="0" b="0"/>
                <wp:wrapTopAndBottom/>
                <wp:docPr id="29"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085" cy="294005"/>
                        </a:xfrm>
                        <a:prstGeom prst="rect">
                          <a:avLst/>
                        </a:prstGeom>
                        <a:solidFill>
                          <a:prstClr val="white"/>
                        </a:solidFill>
                        <a:ln>
                          <a:noFill/>
                        </a:ln>
                      </wps:spPr>
                      <wps:txbx>
                        <w:txbxContent>
                          <w:p w14:paraId="36132896" w14:textId="702AA039" w:rsidR="006C5509" w:rsidRPr="00BD7B67" w:rsidRDefault="006C5509" w:rsidP="00CC3EBF">
                            <w:pPr>
                              <w:pStyle w:val="Caption"/>
                              <w:spacing w:before="0"/>
                              <w:rPr>
                                <w:rFonts w:ascii="Calibri" w:eastAsia="Calibri" w:hAnsi="Calibri" w:cs="Times New Roman"/>
                                <w:noProof/>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7A1E18">
                              <w:t xml:space="preserve">Proposed clinical management algorithm for </w:t>
                            </w:r>
                            <w:r>
                              <w:t>individuals</w:t>
                            </w:r>
                            <w:r w:rsidRPr="007A1E18">
                              <w:t xml:space="preserve"> who are planning a pregnancy, and their reproductive partners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4944" id="Text Box 29" o:spid="_x0000_s1030" type="#_x0000_t202" alt="&quot;&quot;" style="position:absolute;margin-left:379.65pt;margin-top:5.55pt;width:353.55pt;height:2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Z4PgIAAIIEAAAOAAAAZHJzL2Uyb0RvYy54bWysVFFv2jAQfp+0/2D5fSQgOpWIUDEqpkmo&#10;rQRVn43jEGu2z7MNCfv1OzuEdt2epr2Yy93nO9/33TG/67QiJ+G8BFPS8SinRBgOlTSHkj7v1p9u&#10;KfGBmYopMKKkZ+Hp3eLjh3lrCzGBBlQlHMEkxhetLWkTgi2yzPNGaOZHYIXBYA1Os4Cf7pBVjrWY&#10;XatskuefsxZcZR1w4T167/sgXaT8dS14eKxrLwJRJcW3hXS6dO7jmS3mrDg4ZhvJL89g//AKzaTB&#10;otdU9ywwcnTyj1Racgce6jDioDOoa8lF6gG7Gefvutk2zIrUC5Lj7ZUm///S8ofTkyOyKulkRolh&#10;GjXaiS6QL9ARdCE/rfUFwrYWgaFDP+qcevV2A/y7R0j2BtNf8IiOfHS10/EXOyV4ESU4X2mPZTg6&#10;p9NZnt/eUMIxNplN8/wm1s1eb1vnw1cBmkSjpA5lTS9gp40PPXSAxGIelKzWUqn4EQMr5ciJ4Qi0&#10;jQzikvw3lDIRayDe6hNGT+qrbyV2GLp9l7iaDrzsoTojLQ76wfKWryXW2zAfnpjDScKGcTvCIx61&#10;grakcLEoacD9/Js/4lFgjFLS4mSW1P84MicoUd8MSh/HeDDcYOwHwxz1CrDTMe6d5cnECy6owawd&#10;6BdcmmWsgiFmONYqaRjMVej3A5eOi+UygXBYLQsbs7V8UD/yuutemLMXVQLq+QDDzLLinTg9tmd5&#10;eQxQy6Rc5LVn8UI3DnrS/rKUcZPefifU61/H4hcAAAD//wMAUEsDBBQABgAIAAAAIQD/V/J24AAA&#10;AAoBAAAPAAAAZHJzL2Rvd25yZXYueG1sTI9BT4NAEIXvJv6HzZh4MXahUqrI0mirNz20Nj1P2RGI&#10;7Cxhl0L/vduTHifvy3vf5KvJtOJEvWssK4hnEQji0uqGKwX7r/f7RxDOI2tsLZOCMzlYFddXOWba&#10;jryl085XIpSwy1BB7X2XSenKmgy6me2IQ/Zte4M+nH0ldY9jKDetnEdRKg02HBZq7GhdU/mzG4yC&#10;dNMP45bXd5v92wd+dtX88Ho+KHV7M708g/A0+T8YLvpBHYrgdLQDaydaBcvF00NAQxDHIC5AkqYJ&#10;iKOCxTIBWeTy/wvFLwAAAP//AwBQSwECLQAUAAYACAAAACEAtoM4kv4AAADhAQAAEwAAAAAAAAAA&#10;AAAAAAAAAAAAW0NvbnRlbnRfVHlwZXNdLnhtbFBLAQItABQABgAIAAAAIQA4/SH/1gAAAJQBAAAL&#10;AAAAAAAAAAAAAAAAAC8BAABfcmVscy8ucmVsc1BLAQItABQABgAIAAAAIQDYTdZ4PgIAAIIEAAAO&#10;AAAAAAAAAAAAAAAAAC4CAABkcnMvZTJvRG9jLnhtbFBLAQItABQABgAIAAAAIQD/V/J24AAAAAoB&#10;AAAPAAAAAAAAAAAAAAAAAJgEAABkcnMvZG93bnJldi54bWxQSwUGAAAAAAQABADzAAAApQUAAAAA&#10;" stroked="f">
                <v:textbox inset="0,0,0,0">
                  <w:txbxContent>
                    <w:p w14:paraId="36132896" w14:textId="702AA039" w:rsidR="006C5509" w:rsidRPr="00BD7B67" w:rsidRDefault="006C5509" w:rsidP="00CC3EBF">
                      <w:pPr>
                        <w:pStyle w:val="Caption"/>
                        <w:spacing w:before="0"/>
                        <w:rPr>
                          <w:rFonts w:ascii="Calibri" w:eastAsia="Calibri" w:hAnsi="Calibri" w:cs="Times New Roman"/>
                          <w:noProof/>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7A1E18">
                        <w:t xml:space="preserve">Proposed clinical management algorithm for </w:t>
                      </w:r>
                      <w:r>
                        <w:t>individuals</w:t>
                      </w:r>
                      <w:r w:rsidRPr="007A1E18">
                        <w:t xml:space="preserve"> who are planning a pregnancy, and their reproductive partners</w:t>
                      </w:r>
                    </w:p>
                  </w:txbxContent>
                </v:textbox>
                <w10:wrap type="topAndBottom"/>
              </v:shape>
            </w:pict>
          </mc:Fallback>
        </mc:AlternateContent>
      </w:r>
      <w:r w:rsidR="0002778D">
        <w:rPr>
          <w:noProof/>
          <w:lang w:eastAsia="en-AU"/>
        </w:rPr>
        <w:drawing>
          <wp:anchor distT="0" distB="0" distL="114300" distR="114300" simplePos="0" relativeHeight="251688960" behindDoc="0" locked="0" layoutInCell="1" allowOverlap="1" wp14:anchorId="15998867" wp14:editId="1C705303">
            <wp:simplePos x="0" y="0"/>
            <wp:positionH relativeFrom="column">
              <wp:posOffset>111388</wp:posOffset>
            </wp:positionH>
            <wp:positionV relativeFrom="paragraph">
              <wp:posOffset>470188</wp:posOffset>
            </wp:positionV>
            <wp:extent cx="4286250" cy="4542790"/>
            <wp:effectExtent l="0" t="0" r="0" b="0"/>
            <wp:wrapTopAndBottom/>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4286250" cy="4542790"/>
                    </a:xfrm>
                    <a:prstGeom prst="rect">
                      <a:avLst/>
                    </a:prstGeom>
                  </pic:spPr>
                </pic:pic>
              </a:graphicData>
            </a:graphic>
            <wp14:sizeRelH relativeFrom="page">
              <wp14:pctWidth>0</wp14:pctWidth>
            </wp14:sizeRelH>
            <wp14:sizeRelV relativeFrom="page">
              <wp14:pctHeight>0</wp14:pctHeight>
            </wp14:sizeRelV>
          </wp:anchor>
        </w:drawing>
      </w:r>
    </w:p>
    <w:p w14:paraId="26C964BB" w14:textId="30C94E55" w:rsidR="001C093B" w:rsidRDefault="001C093B" w:rsidP="00A8606D">
      <w:pPr>
        <w:sectPr w:rsidR="001C093B" w:rsidSect="0002778D">
          <w:pgSz w:w="16838" w:h="11906" w:orient="landscape"/>
          <w:pgMar w:top="1191" w:right="682" w:bottom="1134" w:left="1021" w:header="709" w:footer="709" w:gutter="0"/>
          <w:cols w:space="708"/>
          <w:docGrid w:linePitch="360"/>
        </w:sectPr>
      </w:pPr>
    </w:p>
    <w:p w14:paraId="34936BC6" w14:textId="6D1B76EA" w:rsidR="00C255D0" w:rsidRDefault="00C255D0" w:rsidP="00C255D0">
      <w:r>
        <w:rPr>
          <w:noProof/>
          <w:lang w:eastAsia="en-AU"/>
        </w:rPr>
        <w:lastRenderedPageBreak/>
        <w:drawing>
          <wp:inline distT="0" distB="0" distL="0" distR="0" wp14:anchorId="389D9354" wp14:editId="6F5D50CA">
            <wp:extent cx="5654675" cy="4507865"/>
            <wp:effectExtent l="0" t="0" r="3175" b="6985"/>
            <wp:docPr id="12" name="Picture 12" descr="Diagram&#10;&#10;Figure 6 Proposed clinical management algorithm for all eligible individuals for genetic carrier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Figure 6 Proposed clinical management algorithm for all eligible individuals for genetic carrier testing"/>
                    <pic:cNvPicPr/>
                  </pic:nvPicPr>
                  <pic:blipFill>
                    <a:blip r:embed="rId17">
                      <a:extLst>
                        <a:ext uri="{28A0092B-C50C-407E-A947-70E740481C1C}">
                          <a14:useLocalDpi xmlns:a14="http://schemas.microsoft.com/office/drawing/2010/main" val="0"/>
                        </a:ext>
                      </a:extLst>
                    </a:blip>
                    <a:stretch>
                      <a:fillRect/>
                    </a:stretch>
                  </pic:blipFill>
                  <pic:spPr>
                    <a:xfrm>
                      <a:off x="0" y="0"/>
                      <a:ext cx="5654675" cy="4507865"/>
                    </a:xfrm>
                    <a:prstGeom prst="rect">
                      <a:avLst/>
                    </a:prstGeom>
                  </pic:spPr>
                </pic:pic>
              </a:graphicData>
            </a:graphic>
          </wp:inline>
        </w:drawing>
      </w:r>
      <w:r w:rsidR="00C515B7">
        <w:rPr>
          <w:noProof/>
          <w:lang w:eastAsia="en-AU"/>
        </w:rPr>
        <mc:AlternateContent>
          <mc:Choice Requires="wps">
            <w:drawing>
              <wp:anchor distT="0" distB="0" distL="114300" distR="114300" simplePos="0" relativeHeight="251718656" behindDoc="0" locked="0" layoutInCell="1" allowOverlap="1" wp14:anchorId="34214475" wp14:editId="1C2D5C54">
                <wp:simplePos x="0" y="0"/>
                <wp:positionH relativeFrom="column">
                  <wp:posOffset>198755</wp:posOffset>
                </wp:positionH>
                <wp:positionV relativeFrom="paragraph">
                  <wp:posOffset>194310</wp:posOffset>
                </wp:positionV>
                <wp:extent cx="5135245" cy="184150"/>
                <wp:effectExtent l="0" t="0" r="0" b="0"/>
                <wp:wrapTopAndBottom/>
                <wp:docPr id="26"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5245" cy="184150"/>
                        </a:xfrm>
                        <a:prstGeom prst="rect">
                          <a:avLst/>
                        </a:prstGeom>
                        <a:solidFill>
                          <a:prstClr val="white"/>
                        </a:solidFill>
                        <a:ln>
                          <a:noFill/>
                        </a:ln>
                      </wps:spPr>
                      <wps:txbx>
                        <w:txbxContent>
                          <w:p w14:paraId="58325531" w14:textId="77777777" w:rsidR="006C5509" w:rsidRPr="00FC7172" w:rsidRDefault="006C5509" w:rsidP="00C255D0">
                            <w:pPr>
                              <w:pStyle w:val="Caption"/>
                              <w:spacing w:before="0"/>
                              <w:rPr>
                                <w:rFonts w:ascii="Calibri" w:eastAsia="Calibri" w:hAnsi="Calibri" w:cs="Times New Roman"/>
                                <w:noProof/>
                                <w:color w:val="548DD4"/>
                              </w:rPr>
                            </w:pPr>
                            <w:bookmarkStart w:id="26" w:name="_Ref77348910"/>
                            <w:r>
                              <w:t xml:space="preserve">Figure </w:t>
                            </w:r>
                            <w:r>
                              <w:fldChar w:fldCharType="begin"/>
                            </w:r>
                            <w:r>
                              <w:instrText xml:space="preserve"> SEQ Figure \* ARABIC </w:instrText>
                            </w:r>
                            <w:r>
                              <w:fldChar w:fldCharType="separate"/>
                            </w:r>
                            <w:r>
                              <w:rPr>
                                <w:noProof/>
                              </w:rPr>
                              <w:t>6</w:t>
                            </w:r>
                            <w:r>
                              <w:fldChar w:fldCharType="end"/>
                            </w:r>
                            <w:bookmarkEnd w:id="26"/>
                            <w:r>
                              <w:t xml:space="preserve"> </w:t>
                            </w:r>
                            <w:r w:rsidRPr="004E39ED">
                              <w:t>Proposed clinical management algorithm for all eligible individuals for genetic carrier testing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214475" id="Text Box 26" o:spid="_x0000_s1031" type="#_x0000_t202" alt="&quot;&quot;" style="position:absolute;margin-left:15.65pt;margin-top:15.3pt;width:404.35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bKQAIAAIIEAAAOAAAAZHJzL2Uyb0RvYy54bWysVMFuGjEQvVfqP1i+lwUaomjFElEiqkoo&#10;iQRRzsZrs1Ztj2sbdtOv79jLkjTtqerFzHrezHjem2F+2xlNTsIHBbaik9GYEmE51MoeKvq0W3+6&#10;oSREZmumwYqKvohAbxcfP8xbV4opNKBr4QkmsaFsXUWbGF1ZFIE3wrAwAicsOiV4wyJ++kNRe9Zi&#10;dqOL6Xh8XbTga+eBixDw9q530kXOL6Xg8UHKICLRFcW3xXz6fO7TWSzmrDx45hrFz89g//AKw5TF&#10;opdUdywycvTqj1RGcQ8BZBxxMAVIqbjIPWA3k/G7brYNcyL3guQEd6Ep/L+0/P706ImqKzq9psQy&#10;gxrtRBfJF+gIXiE/rQslwrYOgbHDe9Q59xrcBvj3gJDiDaYPCIhOfHTSm/SLnRIMRAleLrSnMhwv&#10;Z5PPs+nVjBKOvsnN1WSWdSleo50P8asAQ5JRUY+y5hew0ybEVJ+VAyQVC6BVvVZap4/kWGlPTgxH&#10;oG1UFKkpjPgNpW3CWkhRvTvd5L76VlKHsdt3mavZwMse6hekxUM/WMHxtcJ6GxbiI/M4Sdgwbkd8&#10;wENqaCsKZ4uSBvzPv90nPAqMXkpanMyKhh9H5gUl+ptF6dMYD4YfjP1g2KNZAXY6wb1zPJsY4KMe&#10;TOnBPOPSLFMVdDHLsVZF42CuYr8fuHRcLJcZhMPqWNzYreOD+onXXffMvDurElHPexhmlpXvxOmx&#10;PcvLYwSpsnKJ157FM9046Fme81KmTXr7nVGvfx2LXwAAAP//AwBQSwMEFAAGAAgAAAAhAKv0JcDf&#10;AAAACAEAAA8AAABkcnMvZG93bnJldi54bWxMj8FOwzAQRO9I/IO1SFwQtdtC1KZxKmjhVg4tVc9u&#10;vCQR8TqKnSb9e5YTnFajGc2+ydaja8QFu1B70jCdKBBIhbc1lRqOn++PCxAhGrKm8YQarhhgnd/e&#10;ZCa1fqA9Xg6xFFxCITUaqhjbVMpQVOhMmPgWib0v3zkTWXaltJ0ZuNw1cqZUIp2piT9UpsVNhcX3&#10;oXcakm3XD3vaPGyPbzvz0Zaz0+v1pPX93fiyAhFxjH9h+MVndMiZ6ex7skE0GubTOSf5qgQE+4sn&#10;xdvOGp6XCcg8k/8H5D8AAAD//wMAUEsBAi0AFAAGAAgAAAAhALaDOJL+AAAA4QEAABMAAAAAAAAA&#10;AAAAAAAAAAAAAFtDb250ZW50X1R5cGVzXS54bWxQSwECLQAUAAYACAAAACEAOP0h/9YAAACUAQAA&#10;CwAAAAAAAAAAAAAAAAAvAQAAX3JlbHMvLnJlbHNQSwECLQAUAAYACAAAACEAghsmykACAACCBAAA&#10;DgAAAAAAAAAAAAAAAAAuAgAAZHJzL2Uyb0RvYy54bWxQSwECLQAUAAYACAAAACEAq/QlwN8AAAAI&#10;AQAADwAAAAAAAAAAAAAAAACaBAAAZHJzL2Rvd25yZXYueG1sUEsFBgAAAAAEAAQA8wAAAKYFAAAA&#10;AA==&#10;" stroked="f">
                <v:textbox inset="0,0,0,0">
                  <w:txbxContent>
                    <w:p w14:paraId="58325531" w14:textId="77777777" w:rsidR="006C5509" w:rsidRPr="00FC7172" w:rsidRDefault="006C5509" w:rsidP="00C255D0">
                      <w:pPr>
                        <w:pStyle w:val="Caption"/>
                        <w:spacing w:before="0"/>
                        <w:rPr>
                          <w:rFonts w:ascii="Calibri" w:eastAsia="Calibri" w:hAnsi="Calibri" w:cs="Times New Roman"/>
                          <w:noProof/>
                          <w:color w:val="548DD4"/>
                        </w:rPr>
                      </w:pPr>
                      <w:bookmarkStart w:id="29" w:name="_Ref77348910"/>
                      <w:r>
                        <w:t xml:space="preserve">Figure </w:t>
                      </w:r>
                      <w:r>
                        <w:fldChar w:fldCharType="begin"/>
                      </w:r>
                      <w:r>
                        <w:instrText xml:space="preserve"> SEQ Figure \* ARABIC </w:instrText>
                      </w:r>
                      <w:r>
                        <w:fldChar w:fldCharType="separate"/>
                      </w:r>
                      <w:r>
                        <w:rPr>
                          <w:noProof/>
                        </w:rPr>
                        <w:t>6</w:t>
                      </w:r>
                      <w:r>
                        <w:fldChar w:fldCharType="end"/>
                      </w:r>
                      <w:bookmarkEnd w:id="29"/>
                      <w:r>
                        <w:t xml:space="preserve"> </w:t>
                      </w:r>
                      <w:r w:rsidRPr="004E39ED">
                        <w:t>Proposed clinical management algorithm for all eligible individuals for genetic carrier testing</w:t>
                      </w:r>
                    </w:p>
                  </w:txbxContent>
                </v:textbox>
                <w10:wrap type="topAndBottom"/>
              </v:shape>
            </w:pict>
          </mc:Fallback>
        </mc:AlternateContent>
      </w:r>
      <w:r w:rsidR="00C515B7">
        <w:rPr>
          <w:noProof/>
          <w:lang w:eastAsia="en-AU"/>
        </w:rPr>
        <mc:AlternateContent>
          <mc:Choice Requires="wps">
            <w:drawing>
              <wp:inline distT="0" distB="0" distL="0" distR="0" wp14:anchorId="0EE9E9A6" wp14:editId="3DB7ED12">
                <wp:extent cx="6334760" cy="1104265"/>
                <wp:effectExtent l="0" t="0" r="8890" b="63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104265"/>
                        </a:xfrm>
                        <a:prstGeom prst="rect">
                          <a:avLst/>
                        </a:prstGeom>
                        <a:solidFill>
                          <a:srgbClr val="FFFFFF"/>
                        </a:solidFill>
                        <a:ln w="9525">
                          <a:noFill/>
                          <a:miter lim="800000"/>
                          <a:headEnd/>
                          <a:tailEnd/>
                        </a:ln>
                      </wps:spPr>
                      <wps:txbx>
                        <w:txbxContent>
                          <w:p w14:paraId="1DFB2B85" w14:textId="77777777" w:rsidR="006C5509" w:rsidRDefault="006C5509" w:rsidP="00C255D0">
                            <w:pPr>
                              <w:spacing w:after="0"/>
                              <w:rPr>
                                <w:rFonts w:ascii="Helvetica" w:hAnsi="Helvetica"/>
                                <w:sz w:val="16"/>
                                <w:szCs w:val="16"/>
                              </w:rPr>
                            </w:pPr>
                            <w:r>
                              <w:rPr>
                                <w:rFonts w:ascii="Helvetica" w:hAnsi="Helvetica"/>
                                <w:sz w:val="16"/>
                                <w:szCs w:val="16"/>
                              </w:rPr>
                              <w:t>*</w:t>
                            </w:r>
                            <w:r w:rsidRPr="00D73793">
                              <w:rPr>
                                <w:rFonts w:ascii="Helvetica" w:hAnsi="Helvetica"/>
                                <w:sz w:val="16"/>
                                <w:szCs w:val="16"/>
                              </w:rPr>
                              <w:t xml:space="preserve">Note: </w:t>
                            </w:r>
                            <w:r>
                              <w:rPr>
                                <w:rFonts w:ascii="Helvetica" w:hAnsi="Helvetica"/>
                                <w:sz w:val="16"/>
                                <w:szCs w:val="16"/>
                              </w:rPr>
                              <w:t xml:space="preserve">individuals </w:t>
                            </w:r>
                            <w:r w:rsidRPr="00D73793">
                              <w:rPr>
                                <w:rFonts w:ascii="Helvetica" w:hAnsi="Helvetica"/>
                                <w:sz w:val="16"/>
                                <w:szCs w:val="16"/>
                              </w:rPr>
                              <w:t>are eligible for the genetic carrier testing only if they have a &gt;10% a priori aggregate personal risk of being a heterozygous genetic carrier of a clinically significant disorder associated with pathogenic or likely pathogenic variants of the genes in the testing panel</w:t>
                            </w:r>
                            <w:r>
                              <w:rPr>
                                <w:rFonts w:ascii="Helvetica" w:hAnsi="Helvetica"/>
                                <w:sz w:val="16"/>
                                <w:szCs w:val="16"/>
                              </w:rPr>
                              <w:t xml:space="preserve">. </w:t>
                            </w:r>
                          </w:p>
                          <w:p w14:paraId="47C14450" w14:textId="188C440A" w:rsidR="006C5509" w:rsidRDefault="006C5509" w:rsidP="00C255D0">
                            <w:pPr>
                              <w:spacing w:after="0"/>
                              <w:rPr>
                                <w:rFonts w:ascii="Helvetica" w:hAnsi="Helvetica"/>
                                <w:sz w:val="16"/>
                                <w:szCs w:val="16"/>
                              </w:rPr>
                            </w:pPr>
                            <w:r w:rsidRPr="00651232">
                              <w:rPr>
                                <w:rFonts w:ascii="Helvetica" w:hAnsi="Helvetica"/>
                                <w:sz w:val="18"/>
                                <w:szCs w:val="18"/>
                                <w:vertAlign w:val="superscript"/>
                              </w:rPr>
                              <w:t>#</w:t>
                            </w:r>
                            <w:r>
                              <w:rPr>
                                <w:rFonts w:ascii="Helvetica" w:hAnsi="Helvetica"/>
                                <w:sz w:val="16"/>
                                <w:szCs w:val="16"/>
                              </w:rPr>
                              <w:t>Testing of first-degree biological relatives for the familial gene variant is recommended when the individual is found to be a carrier.</w:t>
                            </w:r>
                          </w:p>
                          <w:p w14:paraId="66C8BC1F" w14:textId="581AEAA1" w:rsidR="006C5509" w:rsidRDefault="006C5509" w:rsidP="00C255D0">
                            <w:pPr>
                              <w:rPr>
                                <w:rFonts w:ascii="Helvetica" w:hAnsi="Helvetica"/>
                                <w:sz w:val="16"/>
                                <w:szCs w:val="16"/>
                              </w:rPr>
                            </w:pPr>
                            <w:r>
                              <w:rPr>
                                <w:rFonts w:ascii="Helvetica" w:hAnsi="Helvetica"/>
                                <w:sz w:val="16"/>
                                <w:szCs w:val="16"/>
                              </w:rPr>
                              <w:t>CVS=chorionic villus sampling; GP=general practitioner; MBS=Medical Benefits Schedule</w:t>
                            </w:r>
                          </w:p>
                          <w:p w14:paraId="3DE5D118" w14:textId="77777777" w:rsidR="006C5509" w:rsidRPr="00D73793" w:rsidRDefault="006C5509" w:rsidP="00C255D0">
                            <w:pPr>
                              <w:rPr>
                                <w:rFonts w:ascii="Helvetica" w:hAnsi="Helvetica"/>
                                <w:sz w:val="16"/>
                                <w:szCs w:val="16"/>
                              </w:rPr>
                            </w:pPr>
                          </w:p>
                        </w:txbxContent>
                      </wps:txbx>
                      <wps:bodyPr rot="0" vert="horz" wrap="square" lIns="91440" tIns="45720" rIns="91440" bIns="45720" anchor="t" anchorCtr="0">
                        <a:noAutofit/>
                      </wps:bodyPr>
                    </wps:wsp>
                  </a:graphicData>
                </a:graphic>
              </wp:inline>
            </w:drawing>
          </mc:Choice>
          <mc:Fallback>
            <w:pict>
              <v:shape w14:anchorId="0EE9E9A6" id="Text Box 2" o:spid="_x0000_s1032" type="#_x0000_t202" style="width:498.8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1lIwIAACQEAAAOAAAAZHJzL2Uyb0RvYy54bWysU9tuGyEQfa/Uf0C813uJL8nK6yh16qpS&#10;epGSfgDLsl5UYChg77pfnwE7jtu+VeUBMczM4cyZYXk7akX2wnkJpqbFJKdEGA6tNNuafn/avLum&#10;xAdmWqbAiJoehKe3q7dvloOtRAk9qFY4giDGV4OtaR+CrbLM815o5idghUFnB06zgKbbZq1jA6Jr&#10;lZV5Ps8GcK11wIX3eHt/dNJVwu86wcPXrvMiEFVT5BbS7tLexD1bLVm1dcz2kp9osH9goZk0+OgZ&#10;6p4FRnZO/gWlJXfgoQsTDjqDrpNcpBqwmiL/o5rHnlmRakFxvD3L5P8fLP+y/+aIbLF3C0oM09ij&#10;JzEG8h5GUkZ5BusrjHq0GBdGvMbQVKq3D8B/eGJg3TOzFXfOwdAL1iK9ImZmF6lHHB9BmuEztPgM&#10;2wVIQGPndNQO1SCIjm06nFsTqXC8nF9dTRdzdHH0FUU+Leez9AarXtKt8+GjAE3ioaYOe5/g2f7B&#10;h0iHVS8h8TUPSrYbqVQy3LZZK0f2DOdkk9YJ/bcwZchQ05tZOUvIBmJ+GiEtA86xkrqm13lcMZ1V&#10;UY4Ppk3nwKQ6npGJMid9oiRHccLYjKkT85gbtWugPaBgDo5ji98MDz24X5QMOLI19T93zAlK1CeD&#10;ot8U02mc8WRMZ4sSDXfpaS49zHCEqmmg5Hhch/QvIm0Dd9icTibZXpmcKOMoJjVP3ybO+qWdol4/&#10;9+oZAAD//wMAUEsDBBQABgAIAAAAIQAi+AmD2gAAAAUBAAAPAAAAZHJzL2Rvd25yZXYueG1sTI/N&#10;TsMwEITvSLyDtUhcEHX4S0iIUwESiGtLH2ATb5OIeB3FbpO+PQsXuIy0mtHMt+V6cYM60hR6zwZu&#10;Vgko4sbbnlsDu8+360dQISJbHDyTgRMFWFfnZyUW1s+8oeM2tkpKOBRooItxLLQOTUcOw8qPxOLt&#10;/eQwyjm12k44S7kb9G2SpNphz7LQ4UivHTVf24MzsP+Yrx7yuX6Pu2xzn75gn9X+ZMzlxfL8BCrS&#10;Ev/C8IMv6FAJU+0PbIMaDMgj8VfFy/MsBVVLKLvLQVel/k9ffQMAAP//AwBQSwECLQAUAAYACAAA&#10;ACEAtoM4kv4AAADhAQAAEwAAAAAAAAAAAAAAAAAAAAAAW0NvbnRlbnRfVHlwZXNdLnhtbFBLAQIt&#10;ABQABgAIAAAAIQA4/SH/1gAAAJQBAAALAAAAAAAAAAAAAAAAAC8BAABfcmVscy8ucmVsc1BLAQIt&#10;ABQABgAIAAAAIQA4g51lIwIAACQEAAAOAAAAAAAAAAAAAAAAAC4CAABkcnMvZTJvRG9jLnhtbFBL&#10;AQItABQABgAIAAAAIQAi+AmD2gAAAAUBAAAPAAAAAAAAAAAAAAAAAH0EAABkcnMvZG93bnJldi54&#10;bWxQSwUGAAAAAAQABADzAAAAhAUAAAAA&#10;" stroked="f">
                <v:textbox>
                  <w:txbxContent>
                    <w:p w14:paraId="1DFB2B85" w14:textId="77777777" w:rsidR="006C5509" w:rsidRDefault="006C5509" w:rsidP="00C255D0">
                      <w:pPr>
                        <w:spacing w:after="0"/>
                        <w:rPr>
                          <w:rFonts w:ascii="Helvetica" w:hAnsi="Helvetica"/>
                          <w:sz w:val="16"/>
                          <w:szCs w:val="16"/>
                        </w:rPr>
                      </w:pPr>
                      <w:r>
                        <w:rPr>
                          <w:rFonts w:ascii="Helvetica" w:hAnsi="Helvetica"/>
                          <w:sz w:val="16"/>
                          <w:szCs w:val="16"/>
                        </w:rPr>
                        <w:t>*</w:t>
                      </w:r>
                      <w:r w:rsidRPr="00D73793">
                        <w:rPr>
                          <w:rFonts w:ascii="Helvetica" w:hAnsi="Helvetica"/>
                          <w:sz w:val="16"/>
                          <w:szCs w:val="16"/>
                        </w:rPr>
                        <w:t xml:space="preserve">Note: </w:t>
                      </w:r>
                      <w:r>
                        <w:rPr>
                          <w:rFonts w:ascii="Helvetica" w:hAnsi="Helvetica"/>
                          <w:sz w:val="16"/>
                          <w:szCs w:val="16"/>
                        </w:rPr>
                        <w:t xml:space="preserve">individuals </w:t>
                      </w:r>
                      <w:r w:rsidRPr="00D73793">
                        <w:rPr>
                          <w:rFonts w:ascii="Helvetica" w:hAnsi="Helvetica"/>
                          <w:sz w:val="16"/>
                          <w:szCs w:val="16"/>
                        </w:rPr>
                        <w:t>are eligible for the genetic carrier testing only if they have a &gt;10% a priori aggregate personal risk of being a heterozygous genetic carrier of a clinically significant disorder associated with pathogenic or likely pathogenic variants of the genes in the testing panel</w:t>
                      </w:r>
                      <w:r>
                        <w:rPr>
                          <w:rFonts w:ascii="Helvetica" w:hAnsi="Helvetica"/>
                          <w:sz w:val="16"/>
                          <w:szCs w:val="16"/>
                        </w:rPr>
                        <w:t xml:space="preserve">. </w:t>
                      </w:r>
                    </w:p>
                    <w:p w14:paraId="47C14450" w14:textId="188C440A" w:rsidR="006C5509" w:rsidRDefault="006C5509" w:rsidP="00C255D0">
                      <w:pPr>
                        <w:spacing w:after="0"/>
                        <w:rPr>
                          <w:rFonts w:ascii="Helvetica" w:hAnsi="Helvetica"/>
                          <w:sz w:val="16"/>
                          <w:szCs w:val="16"/>
                        </w:rPr>
                      </w:pPr>
                      <w:r w:rsidRPr="00651232">
                        <w:rPr>
                          <w:rFonts w:ascii="Helvetica" w:hAnsi="Helvetica"/>
                          <w:sz w:val="18"/>
                          <w:szCs w:val="18"/>
                          <w:vertAlign w:val="superscript"/>
                        </w:rPr>
                        <w:t>#</w:t>
                      </w:r>
                      <w:r>
                        <w:rPr>
                          <w:rFonts w:ascii="Helvetica" w:hAnsi="Helvetica"/>
                          <w:sz w:val="16"/>
                          <w:szCs w:val="16"/>
                        </w:rPr>
                        <w:t>Testing of first-degree biological relatives for the familial gene variant is recommended when the individual is found to be a carrier.</w:t>
                      </w:r>
                    </w:p>
                    <w:p w14:paraId="66C8BC1F" w14:textId="581AEAA1" w:rsidR="006C5509" w:rsidRDefault="006C5509" w:rsidP="00C255D0">
                      <w:pPr>
                        <w:rPr>
                          <w:rFonts w:ascii="Helvetica" w:hAnsi="Helvetica"/>
                          <w:sz w:val="16"/>
                          <w:szCs w:val="16"/>
                        </w:rPr>
                      </w:pPr>
                      <w:r>
                        <w:rPr>
                          <w:rFonts w:ascii="Helvetica" w:hAnsi="Helvetica"/>
                          <w:sz w:val="16"/>
                          <w:szCs w:val="16"/>
                        </w:rPr>
                        <w:t>CVS=chorionic villus sampling; GP=general practitioner; MBS=Medical Benefits Schedule</w:t>
                      </w:r>
                    </w:p>
                    <w:p w14:paraId="3DE5D118" w14:textId="77777777" w:rsidR="006C5509" w:rsidRPr="00D73793" w:rsidRDefault="006C5509" w:rsidP="00C255D0">
                      <w:pPr>
                        <w:rPr>
                          <w:rFonts w:ascii="Helvetica" w:hAnsi="Helvetica"/>
                          <w:sz w:val="16"/>
                          <w:szCs w:val="16"/>
                        </w:rPr>
                      </w:pPr>
                    </w:p>
                  </w:txbxContent>
                </v:textbox>
                <w10:anchorlock/>
              </v:shape>
            </w:pict>
          </mc:Fallback>
        </mc:AlternateContent>
      </w:r>
    </w:p>
    <w:p w14:paraId="169A4D8B" w14:textId="77777777" w:rsidR="00C255D0" w:rsidRPr="00A8606D" w:rsidRDefault="00C255D0" w:rsidP="00C255D0">
      <w:pPr>
        <w:sectPr w:rsidR="00C255D0" w:rsidRPr="00A8606D" w:rsidSect="001C093B">
          <w:pgSz w:w="11906" w:h="16838"/>
          <w:pgMar w:top="682" w:right="1134" w:bottom="1021" w:left="1191" w:header="709" w:footer="709" w:gutter="0"/>
          <w:cols w:space="708"/>
          <w:docGrid w:linePitch="360"/>
        </w:sectPr>
      </w:pPr>
    </w:p>
    <w:p w14:paraId="11A25552" w14:textId="1181D168" w:rsidR="00550E81" w:rsidRDefault="00550E81" w:rsidP="00550E81">
      <w:r>
        <w:lastRenderedPageBreak/>
        <w:t>This assessment is expected to provide the following additional components compared with previous</w:t>
      </w:r>
      <w:r w:rsidR="003146E7">
        <w:t xml:space="preserve"> </w:t>
      </w:r>
      <w:r>
        <w:t>MSAC Application 1573:</w:t>
      </w:r>
    </w:p>
    <w:p w14:paraId="1BAFE0BD" w14:textId="1113A94C" w:rsidR="00550E81" w:rsidRDefault="00550E81" w:rsidP="00556800">
      <w:pPr>
        <w:pStyle w:val="ListParagraph"/>
        <w:numPr>
          <w:ilvl w:val="0"/>
          <w:numId w:val="5"/>
        </w:numPr>
      </w:pPr>
      <w:r>
        <w:t>Population: this assessment will consider a population (both males and females)</w:t>
      </w:r>
      <w:r w:rsidRPr="005D441F">
        <w:t xml:space="preserve"> </w:t>
      </w:r>
      <w:r w:rsidR="003146E7">
        <w:t xml:space="preserve">of reproductive age </w:t>
      </w:r>
      <w:r>
        <w:t xml:space="preserve">(approximately aged between 12 to 60 years). While there will be some overlap with the population considered in MSAC Application 1573 (pregnant </w:t>
      </w:r>
      <w:r w:rsidR="003146E7">
        <w:t xml:space="preserve">individuals, </w:t>
      </w:r>
      <w:r>
        <w:t xml:space="preserve">and </w:t>
      </w:r>
      <w:r w:rsidR="003146E7">
        <w:t>individuals</w:t>
      </w:r>
      <w:r>
        <w:t xml:space="preserve"> planning a pregnancy and their reproductive partners), the current application </w:t>
      </w:r>
      <w:r w:rsidR="004C1E2D">
        <w:t xml:space="preserve">also </w:t>
      </w:r>
      <w:r>
        <w:t>includes those who are not planning a pregnancy.</w:t>
      </w:r>
    </w:p>
    <w:p w14:paraId="454D841B" w14:textId="29AB067E" w:rsidR="00550E81" w:rsidRPr="00E1397A" w:rsidRDefault="00550E81" w:rsidP="00556800">
      <w:pPr>
        <w:pStyle w:val="ListParagraph"/>
        <w:numPr>
          <w:ilvl w:val="0"/>
          <w:numId w:val="5"/>
        </w:numPr>
      </w:pPr>
      <w:r w:rsidRPr="00E1397A">
        <w:t xml:space="preserve">Genetic panel: This application considers a panel of genes that can cause </w:t>
      </w:r>
      <w:r w:rsidR="00FA19D7">
        <w:t xml:space="preserve">nine additional </w:t>
      </w:r>
      <w:r w:rsidRPr="00E1397A">
        <w:t xml:space="preserve">severe monogenic diseases than </w:t>
      </w:r>
      <w:r w:rsidR="00FA19D7" w:rsidRPr="00E1397A">
        <w:t>th</w:t>
      </w:r>
      <w:r w:rsidR="00FA19D7">
        <w:t>ose</w:t>
      </w:r>
      <w:r w:rsidR="00FA19D7" w:rsidRPr="00E1397A">
        <w:t xml:space="preserve"> </w:t>
      </w:r>
      <w:r w:rsidRPr="00E1397A">
        <w:t xml:space="preserve">considered in MSAC Application 1573. </w:t>
      </w:r>
      <w:r w:rsidR="00FA19D7">
        <w:t>T</w:t>
      </w:r>
      <w:r w:rsidRPr="00E1397A">
        <w:t xml:space="preserve">he assessment will </w:t>
      </w:r>
      <w:r w:rsidR="00233B2B" w:rsidRPr="00E1397A">
        <w:t>assess</w:t>
      </w:r>
      <w:r w:rsidRPr="00E1397A">
        <w:t xml:space="preserve"> the benefit of testing </w:t>
      </w:r>
      <w:r w:rsidR="00FA19D7">
        <w:t xml:space="preserve">for presence of </w:t>
      </w:r>
      <w:r w:rsidR="00FA19D7" w:rsidRPr="00E1397A">
        <w:t>th</w:t>
      </w:r>
      <w:r w:rsidR="00FA19D7">
        <w:t>e gene variants responsible for these nine diseases</w:t>
      </w:r>
      <w:r w:rsidR="00FA19D7" w:rsidRPr="00E1397A">
        <w:t xml:space="preserve"> </w:t>
      </w:r>
      <w:r w:rsidR="00FA19D7">
        <w:t>for</w:t>
      </w:r>
      <w:r w:rsidR="00233B2B" w:rsidRPr="00E1397A">
        <w:t xml:space="preserve"> </w:t>
      </w:r>
      <w:r w:rsidRPr="00E1397A">
        <w:t xml:space="preserve">subpopulations at a high </w:t>
      </w:r>
      <w:r w:rsidR="00233B2B" w:rsidRPr="00E1397A">
        <w:t xml:space="preserve">ethnic </w:t>
      </w:r>
      <w:r w:rsidRPr="00E1397A">
        <w:t xml:space="preserve">risk (&gt;10% risk) of inheriting </w:t>
      </w:r>
      <w:r w:rsidR="00233B2B" w:rsidRPr="00E1397A">
        <w:t xml:space="preserve">variants in </w:t>
      </w:r>
      <w:r w:rsidRPr="00E1397A">
        <w:t>these genes.</w:t>
      </w:r>
    </w:p>
    <w:p w14:paraId="2BDE22B9" w14:textId="5D4553EC" w:rsidR="00D73332" w:rsidRDefault="00D73332" w:rsidP="00713728">
      <w:pPr>
        <w:pStyle w:val="Heading2"/>
        <w:rPr>
          <w:b/>
          <w:bCs/>
          <w:i/>
        </w:rPr>
      </w:pPr>
      <w:r w:rsidRPr="00490FBB">
        <w:t>Proposed economic evaluation</w:t>
      </w:r>
    </w:p>
    <w:p w14:paraId="2CD659F7" w14:textId="65DA86B3" w:rsidR="00AC6FD2" w:rsidRDefault="00AC6FD2" w:rsidP="00833185">
      <w:pPr>
        <w:rPr>
          <w:rFonts w:asciiTheme="minorHAnsi" w:hAnsiTheme="minorHAnsi" w:cstheme="minorHAnsi"/>
          <w:i/>
        </w:rPr>
      </w:pPr>
      <w:r w:rsidRPr="00457C7D">
        <w:rPr>
          <w:rFonts w:asciiTheme="minorHAnsi" w:hAnsiTheme="minorHAnsi" w:cstheme="minorHAnsi"/>
          <w:i/>
        </w:rPr>
        <w:t>PASC agreed that the clinical claim is that targeted genetic carrier testing for severe monogenic diseases is superior in terms of clinical effectiveness and inferior in terms of safety to genetic carrier testing for CF/FXS/SMA only. The suggested economic evaluation is a cost-effectiveness analysis</w:t>
      </w:r>
      <w:r>
        <w:rPr>
          <w:rFonts w:asciiTheme="minorHAnsi" w:hAnsiTheme="minorHAnsi" w:cstheme="minorHAnsi"/>
          <w:i/>
        </w:rPr>
        <w:t>.</w:t>
      </w:r>
    </w:p>
    <w:p w14:paraId="47CBB746" w14:textId="5005B7D3" w:rsidR="00AE50CC" w:rsidRDefault="00AC6FD2" w:rsidP="00833185">
      <w:pPr>
        <w:rPr>
          <w:rFonts w:asciiTheme="minorHAnsi" w:hAnsiTheme="minorHAnsi" w:cstheme="minorHAnsi"/>
          <w:iCs/>
        </w:rPr>
      </w:pPr>
      <w:r w:rsidRPr="00AC6FD2">
        <w:rPr>
          <w:rFonts w:asciiTheme="minorHAnsi" w:hAnsiTheme="minorHAnsi" w:cstheme="minorHAnsi"/>
          <w:iCs/>
        </w:rPr>
        <w:t xml:space="preserve">The assessment of the costs to Government will be based on the costs of determining the carrier status of the </w:t>
      </w:r>
      <w:r w:rsidR="00697BE3" w:rsidRPr="00AC6FD2">
        <w:rPr>
          <w:rFonts w:asciiTheme="minorHAnsi" w:hAnsiTheme="minorHAnsi" w:cstheme="minorHAnsi"/>
          <w:iCs/>
        </w:rPr>
        <w:t>individual and</w:t>
      </w:r>
      <w:r w:rsidRPr="00AC6FD2">
        <w:rPr>
          <w:rFonts w:asciiTheme="minorHAnsi" w:hAnsiTheme="minorHAnsi" w:cstheme="minorHAnsi"/>
          <w:iCs/>
        </w:rPr>
        <w:t xml:space="preserve"> enabling making an informed reproductive decision.</w:t>
      </w:r>
    </w:p>
    <w:p w14:paraId="2B51760E" w14:textId="2929E890" w:rsidR="00AC6FD2" w:rsidRDefault="00AC6FD2" w:rsidP="00833185">
      <w:pPr>
        <w:rPr>
          <w:rFonts w:asciiTheme="minorHAnsi" w:hAnsiTheme="minorHAnsi" w:cstheme="minorHAnsi"/>
          <w:i/>
        </w:rPr>
      </w:pPr>
      <w:r>
        <w:rPr>
          <w:rFonts w:asciiTheme="minorHAnsi" w:hAnsiTheme="minorHAnsi" w:cstheme="minorHAnsi"/>
          <w:i/>
        </w:rPr>
        <w:t>However,</w:t>
      </w:r>
      <w:r w:rsidRPr="00457C7D">
        <w:rPr>
          <w:rFonts w:asciiTheme="minorHAnsi" w:hAnsiTheme="minorHAnsi" w:cstheme="minorHAnsi"/>
          <w:i/>
        </w:rPr>
        <w:t xml:space="preserve"> PASC advised that the downstream treatment costs (after birth costs) </w:t>
      </w:r>
      <w:r>
        <w:rPr>
          <w:rFonts w:asciiTheme="minorHAnsi" w:hAnsiTheme="minorHAnsi" w:cstheme="minorHAnsi"/>
          <w:i/>
        </w:rPr>
        <w:t xml:space="preserve">avoided </w:t>
      </w:r>
      <w:r w:rsidRPr="00457C7D">
        <w:rPr>
          <w:rFonts w:asciiTheme="minorHAnsi" w:hAnsiTheme="minorHAnsi" w:cstheme="minorHAnsi"/>
          <w:i/>
        </w:rPr>
        <w:t xml:space="preserve">must also be included in the economic </w:t>
      </w:r>
      <w:r>
        <w:rPr>
          <w:rFonts w:asciiTheme="minorHAnsi" w:hAnsiTheme="minorHAnsi" w:cstheme="minorHAnsi"/>
          <w:i/>
        </w:rPr>
        <w:t xml:space="preserve">and financial </w:t>
      </w:r>
      <w:r w:rsidRPr="00457C7D">
        <w:rPr>
          <w:rFonts w:asciiTheme="minorHAnsi" w:hAnsiTheme="minorHAnsi" w:cstheme="minorHAnsi"/>
          <w:i/>
        </w:rPr>
        <w:t>evaluation because the costs of care for children born with these diseases are significant.</w:t>
      </w:r>
    </w:p>
    <w:p w14:paraId="1CF128B2" w14:textId="77777777" w:rsidR="009C55C0" w:rsidRDefault="009C55C0" w:rsidP="00E0238F">
      <w:pPr>
        <w:rPr>
          <w:rFonts w:asciiTheme="minorHAnsi" w:hAnsiTheme="minorHAnsi" w:cstheme="minorHAnsi"/>
          <w:i/>
        </w:rPr>
      </w:pPr>
      <w:r w:rsidRPr="00457C7D">
        <w:rPr>
          <w:rFonts w:asciiTheme="minorHAnsi" w:hAnsiTheme="minorHAnsi" w:cstheme="minorHAnsi"/>
          <w:i/>
        </w:rPr>
        <w:t>PASC agreed that the costs of testing will vary from laboratory to laboratory. The applicant assumed that testing for genes proposed in the panel in addition to CFTR, SMN1 and FXS will incur extra costs, and therefore proposed a fee for testing ($600) higher than that supported for the previous MSAC assessment 1573 ($400). PASC advised that the proposed fees should be justified based on the cost to conduct the test, as some appear to be higher than the cost of similar testing with private providers (</w:t>
      </w:r>
      <w:proofErr w:type="gramStart"/>
      <w:r w:rsidRPr="00457C7D">
        <w:rPr>
          <w:rFonts w:asciiTheme="minorHAnsi" w:hAnsiTheme="minorHAnsi" w:cstheme="minorHAnsi"/>
          <w:i/>
        </w:rPr>
        <w:t>e.g.</w:t>
      </w:r>
      <w:proofErr w:type="gramEnd"/>
      <w:r w:rsidRPr="00457C7D">
        <w:rPr>
          <w:rFonts w:asciiTheme="minorHAnsi" w:hAnsiTheme="minorHAnsi" w:cstheme="minorHAnsi"/>
          <w:i/>
        </w:rPr>
        <w:t xml:space="preserve"> $330 for an eight gene Ashkenazi Jewish panel). PASC also advised the fee for GGGG (</w:t>
      </w:r>
      <w:proofErr w:type="spellStart"/>
      <w:r w:rsidRPr="00457C7D">
        <w:rPr>
          <w:rFonts w:asciiTheme="minorHAnsi" w:hAnsiTheme="minorHAnsi" w:cstheme="minorHAnsi"/>
          <w:i/>
        </w:rPr>
        <w:t>fetal</w:t>
      </w:r>
      <w:proofErr w:type="spellEnd"/>
      <w:r w:rsidRPr="00457C7D">
        <w:rPr>
          <w:rFonts w:asciiTheme="minorHAnsi" w:hAnsiTheme="minorHAnsi" w:cstheme="minorHAnsi"/>
          <w:i/>
        </w:rPr>
        <w:t xml:space="preserve"> testing for a known familial variant) may need</w:t>
      </w:r>
      <w:r>
        <w:rPr>
          <w:rFonts w:asciiTheme="minorHAnsi" w:hAnsiTheme="minorHAnsi" w:cstheme="minorHAnsi"/>
          <w:i/>
        </w:rPr>
        <w:t xml:space="preserve"> to</w:t>
      </w:r>
      <w:r w:rsidRPr="00457C7D">
        <w:rPr>
          <w:rFonts w:asciiTheme="minorHAnsi" w:hAnsiTheme="minorHAnsi" w:cstheme="minorHAnsi"/>
          <w:i/>
        </w:rPr>
        <w:t xml:space="preserve"> be increased.</w:t>
      </w:r>
    </w:p>
    <w:p w14:paraId="3200FA96" w14:textId="629A6769" w:rsidR="009C55C0" w:rsidRPr="00457C7D" w:rsidRDefault="009C55C0" w:rsidP="004D6E95">
      <w:pPr>
        <w:rPr>
          <w:rFonts w:asciiTheme="minorHAnsi" w:hAnsiTheme="minorHAnsi" w:cstheme="minorHAnsi"/>
          <w:i/>
        </w:rPr>
      </w:pPr>
      <w:r>
        <w:rPr>
          <w:rFonts w:asciiTheme="minorHAnsi" w:hAnsiTheme="minorHAnsi" w:cstheme="minorHAnsi"/>
          <w:i/>
        </w:rPr>
        <w:t xml:space="preserve">At the post-PASC meeting, the Department noted that MSAC has recently supported reproductive partner gene sequencing items for $1200. </w:t>
      </w:r>
      <w:r w:rsidRPr="00F5698D">
        <w:rPr>
          <w:rFonts w:asciiTheme="minorHAnsi" w:hAnsiTheme="minorHAnsi" w:cstheme="minorHAnsi"/>
          <w:i/>
        </w:rPr>
        <w:t>If this is indeed the fee, this has implications for the choice of test in reproductive partners of couples who undergo a two-step approach to reproductive carrier testing</w:t>
      </w:r>
      <w:r>
        <w:rPr>
          <w:rFonts w:asciiTheme="minorHAnsi" w:hAnsiTheme="minorHAnsi" w:cstheme="minorHAnsi"/>
          <w:i/>
        </w:rPr>
        <w:t xml:space="preserve"> (where the couple is not already pregnant). The applicant stated it would likely cost less than $600 to sequence one gene from this </w:t>
      </w:r>
      <w:r w:rsidR="00697BE3">
        <w:rPr>
          <w:rFonts w:asciiTheme="minorHAnsi" w:hAnsiTheme="minorHAnsi" w:cstheme="minorHAnsi"/>
          <w:i/>
        </w:rPr>
        <w:t>panel and</w:t>
      </w:r>
      <w:r>
        <w:rPr>
          <w:rFonts w:asciiTheme="minorHAnsi" w:hAnsiTheme="minorHAnsi" w:cstheme="minorHAnsi"/>
          <w:i/>
        </w:rPr>
        <w:t xml:space="preserve"> committed to confirm its proposed fees. An expert consulted by PASC advised that </w:t>
      </w:r>
      <w:r w:rsidRPr="00E0238F">
        <w:rPr>
          <w:rFonts w:asciiTheme="minorHAnsi" w:hAnsiTheme="minorHAnsi" w:cstheme="minorHAnsi"/>
          <w:i/>
        </w:rPr>
        <w:t>reproductive partner testing will require gene sequencing to capture all variants within the gene(s) in question</w:t>
      </w:r>
      <w:r>
        <w:rPr>
          <w:rFonts w:asciiTheme="minorHAnsi" w:hAnsiTheme="minorHAnsi" w:cstheme="minorHAnsi"/>
          <w:i/>
        </w:rPr>
        <w:t>.</w:t>
      </w:r>
      <w:r w:rsidRPr="00E0238F">
        <w:rPr>
          <w:rFonts w:asciiTheme="minorHAnsi" w:hAnsiTheme="minorHAnsi" w:cstheme="minorHAnsi"/>
          <w:i/>
        </w:rPr>
        <w:t xml:space="preserve"> </w:t>
      </w:r>
      <w:r>
        <w:rPr>
          <w:rFonts w:asciiTheme="minorHAnsi" w:hAnsiTheme="minorHAnsi" w:cstheme="minorHAnsi"/>
          <w:i/>
        </w:rPr>
        <w:t>The applicant disagreed and proposed the partner test encompass only the genes and variants included in the panel test, and at the same fee as the panel test ($425), which the Department requested be accommodated as a sensitivity analysis for the partner testing item in the DCAR.</w:t>
      </w:r>
    </w:p>
    <w:p w14:paraId="3F5509F4" w14:textId="0669FA2A" w:rsidR="0019437E" w:rsidRDefault="009C55C0" w:rsidP="004D6E95">
      <w:pPr>
        <w:rPr>
          <w:rFonts w:asciiTheme="minorHAnsi" w:hAnsiTheme="minorHAnsi" w:cstheme="minorHAnsi"/>
          <w:i/>
        </w:rPr>
      </w:pPr>
      <w:r w:rsidRPr="00457C7D">
        <w:rPr>
          <w:rFonts w:asciiTheme="minorHAnsi" w:hAnsiTheme="minorHAnsi" w:cstheme="minorHAnsi"/>
          <w:i/>
        </w:rPr>
        <w:t xml:space="preserve">PASC suggested that the gene panel be restricted to genes for the nine severe monogenic disorders described previously as being highly prevalent in the Ashkenazi Jewish population in Australia, as opposed to testing for a broader panel of genes. This is a </w:t>
      </w:r>
      <w:proofErr w:type="gramStart"/>
      <w:r w:rsidRPr="00457C7D">
        <w:rPr>
          <w:rFonts w:asciiTheme="minorHAnsi" w:hAnsiTheme="minorHAnsi" w:cstheme="minorHAnsi"/>
          <w:i/>
        </w:rPr>
        <w:t xml:space="preserve">fairly </w:t>
      </w:r>
      <w:r w:rsidR="00697BE3" w:rsidRPr="00457C7D">
        <w:rPr>
          <w:rFonts w:asciiTheme="minorHAnsi" w:hAnsiTheme="minorHAnsi" w:cstheme="minorHAnsi"/>
          <w:i/>
        </w:rPr>
        <w:t>well-defined</w:t>
      </w:r>
      <w:proofErr w:type="gramEnd"/>
      <w:r w:rsidRPr="00457C7D">
        <w:rPr>
          <w:rFonts w:asciiTheme="minorHAnsi" w:hAnsiTheme="minorHAnsi" w:cstheme="minorHAnsi"/>
          <w:i/>
        </w:rPr>
        <w:t xml:space="preserve"> subpopulation with extensive evidence available on genetic carrier testing. However financial assessment of other gene panels for other higher risk ethnicities, as proposed in the Application Form, may not be similarly well-evidenced and practicable. Therefore, for this assessment, PASC suggested that the financial assessment only consider the Ashkenazi </w:t>
      </w:r>
      <w:r w:rsidRPr="00457C7D">
        <w:rPr>
          <w:rFonts w:asciiTheme="minorHAnsi" w:hAnsiTheme="minorHAnsi" w:cstheme="minorHAnsi"/>
          <w:i/>
        </w:rPr>
        <w:lastRenderedPageBreak/>
        <w:t>Jewish population and, more broadly, suggested that the applicant consider limiting the application to the Ashkenazi Jewish population. PASC suggested the applicant should revisit this issue in its revised PICO, to be submitted to PASC out of session.</w:t>
      </w:r>
    </w:p>
    <w:p w14:paraId="43359C16" w14:textId="0B1BA9FD" w:rsidR="009C55C0" w:rsidRPr="004D6E95" w:rsidRDefault="009C55C0" w:rsidP="004D6E95">
      <w:pPr>
        <w:rPr>
          <w:rFonts w:asciiTheme="minorHAnsi" w:hAnsiTheme="minorHAnsi" w:cstheme="minorHAnsi"/>
          <w:i/>
        </w:rPr>
      </w:pPr>
      <w:r w:rsidRPr="00457C7D">
        <w:rPr>
          <w:rFonts w:asciiTheme="minorHAnsi" w:hAnsiTheme="minorHAnsi" w:cstheme="minorHAnsi"/>
          <w:i/>
        </w:rPr>
        <w:t>PASC further suggested that using a stepped funding approach, future applications may be made to add other gene panels to encompass other populations at a 10% or higher a priori risk of being a carrier of other relevant genetic variants.</w:t>
      </w:r>
      <w:r>
        <w:rPr>
          <w:rFonts w:asciiTheme="minorHAnsi" w:hAnsiTheme="minorHAnsi" w:cstheme="minorHAnsi"/>
          <w:i/>
        </w:rPr>
        <w:t xml:space="preserve"> At the post-PASC meeting, the applicant agreed this</w:t>
      </w:r>
      <w:r w:rsidRPr="004D6E95">
        <w:rPr>
          <w:rFonts w:asciiTheme="minorHAnsi" w:hAnsiTheme="minorHAnsi" w:cstheme="minorHAnsi"/>
          <w:i/>
        </w:rPr>
        <w:t xml:space="preserve"> application is to be restricted to the Ashkenazi Jewish population (though other ethnicities that confer a &gt;10% personal risk of being a carrier for specific gene variants may be the subject of future applications).</w:t>
      </w:r>
    </w:p>
    <w:p w14:paraId="430EA908" w14:textId="3807196E" w:rsidR="00E0238F" w:rsidRPr="004D6E95" w:rsidRDefault="0019437E" w:rsidP="00D96AD9">
      <w:pPr>
        <w:rPr>
          <w:rFonts w:asciiTheme="minorHAnsi" w:hAnsiTheme="minorHAnsi" w:cstheme="minorHAnsi"/>
          <w:i/>
        </w:rPr>
      </w:pPr>
      <w:r w:rsidRPr="004D6E95">
        <w:rPr>
          <w:rFonts w:asciiTheme="minorHAnsi" w:hAnsiTheme="minorHAnsi" w:cstheme="minorHAnsi"/>
          <w:i/>
        </w:rPr>
        <w:t xml:space="preserve">PASC considered the merits of providing testing to individuals of reproductive age or limiting testing to individuals/couples planning </w:t>
      </w:r>
      <w:r w:rsidR="00697BE3" w:rsidRPr="004D6E95">
        <w:rPr>
          <w:rFonts w:asciiTheme="minorHAnsi" w:hAnsiTheme="minorHAnsi" w:cstheme="minorHAnsi"/>
          <w:i/>
        </w:rPr>
        <w:t>reproduction and</w:t>
      </w:r>
      <w:r w:rsidRPr="004D6E95">
        <w:rPr>
          <w:rFonts w:asciiTheme="minorHAnsi" w:hAnsiTheme="minorHAnsi" w:cstheme="minorHAnsi"/>
          <w:i/>
        </w:rPr>
        <w:t xml:space="preserve"> suggested the applicant should revisit this issue out of session. </w:t>
      </w:r>
      <w:r w:rsidRPr="0019437E">
        <w:rPr>
          <w:rFonts w:asciiTheme="minorHAnsi" w:hAnsiTheme="minorHAnsi" w:cstheme="minorHAnsi"/>
          <w:i/>
        </w:rPr>
        <w:t xml:space="preserve">At the post-PASC meeting, the applicant </w:t>
      </w:r>
      <w:r w:rsidRPr="004D6E95">
        <w:rPr>
          <w:rFonts w:asciiTheme="minorHAnsi" w:hAnsiTheme="minorHAnsi" w:cstheme="minorHAnsi"/>
          <w:i/>
        </w:rPr>
        <w:t xml:space="preserve">remained supportive of testing long in advance of reproductive decision-making, though acknowledged that the items are more likely to be utilised at the point of conception or in early pregnancy. The applicant requested </w:t>
      </w:r>
      <w:r w:rsidRPr="0019437E">
        <w:rPr>
          <w:rFonts w:asciiTheme="minorHAnsi" w:hAnsiTheme="minorHAnsi" w:cstheme="minorHAnsi"/>
          <w:i/>
        </w:rPr>
        <w:t>the DCAR examine both options for the timing of testing</w:t>
      </w:r>
      <w:r w:rsidR="00E0238F" w:rsidRPr="004D6E95">
        <w:rPr>
          <w:rFonts w:asciiTheme="minorHAnsi" w:hAnsiTheme="minorHAnsi" w:cstheme="minorHAnsi"/>
          <w:i/>
        </w:rPr>
        <w:t>.</w:t>
      </w:r>
    </w:p>
    <w:p w14:paraId="6DAB2DBD" w14:textId="53F6DD68" w:rsidR="000939E0" w:rsidRPr="00490FBB" w:rsidRDefault="00D96AD9" w:rsidP="00C40CC4">
      <w:pPr>
        <w:pStyle w:val="Caption"/>
      </w:pPr>
      <w:r w:rsidRPr="00F2289C">
        <w:rPr>
          <w:rFonts w:asciiTheme="minorHAnsi" w:hAnsiTheme="minorHAnsi" w:cstheme="minorHAnsi"/>
          <w:i/>
          <w:color w:val="2E74B5" w:themeColor="accent1" w:themeShade="BF"/>
          <w:sz w:val="24"/>
        </w:rPr>
        <w:t xml:space="preserve"> </w:t>
      </w:r>
      <w:bookmarkStart w:id="27" w:name="_Ref54260209"/>
      <w:bookmarkStart w:id="28" w:name="_Toc423450289"/>
      <w:r w:rsidR="000939E0" w:rsidRPr="00490FBB">
        <w:t>Table</w:t>
      </w:r>
      <w:r w:rsidR="00DE762F">
        <w:t> </w:t>
      </w:r>
      <w:r w:rsidR="000939E0" w:rsidRPr="00490FBB">
        <w:fldChar w:fldCharType="begin"/>
      </w:r>
      <w:r w:rsidR="000939E0" w:rsidRPr="00490FBB">
        <w:instrText xml:space="preserve"> SEQ Table \* ARABIC </w:instrText>
      </w:r>
      <w:r w:rsidR="000939E0" w:rsidRPr="00490FBB">
        <w:fldChar w:fldCharType="separate"/>
      </w:r>
      <w:r w:rsidR="00E1397A">
        <w:rPr>
          <w:noProof/>
        </w:rPr>
        <w:t>4</w:t>
      </w:r>
      <w:r w:rsidR="000939E0" w:rsidRPr="00490FBB">
        <w:fldChar w:fldCharType="end"/>
      </w:r>
      <w:bookmarkEnd w:id="27"/>
      <w:r w:rsidR="001A5D2F">
        <w:tab/>
        <w:t>Classification of</w:t>
      </w:r>
      <w:r w:rsidR="000939E0" w:rsidRPr="00490FBB">
        <w:t xml:space="preserve"> comparative effectiveness and safety of the proposed intervention</w:t>
      </w:r>
      <w:r w:rsidR="001A5D2F">
        <w:t>,</w:t>
      </w:r>
      <w:r w:rsidR="000939E0" w:rsidRPr="00490FBB">
        <w:t xml:space="preserve"> compared with its main comparator</w:t>
      </w:r>
      <w:r w:rsidR="001A5D2F">
        <w:t>,</w:t>
      </w:r>
      <w:r w:rsidR="000939E0" w:rsidRPr="00490FBB">
        <w:t xml:space="preserve"> and guide to the suitable type of economic evaluation</w:t>
      </w:r>
      <w:bookmarkEnd w:id="28"/>
    </w:p>
    <w:tbl>
      <w:tblPr>
        <w:tblW w:w="4872" w:type="pct"/>
        <w:tblInd w:w="115" w:type="dxa"/>
        <w:tblLayout w:type="fixed"/>
        <w:tblCellMar>
          <w:left w:w="115" w:type="dxa"/>
          <w:right w:w="115" w:type="dxa"/>
        </w:tblCellMar>
        <w:tblLook w:val="01E0" w:firstRow="1" w:lastRow="1" w:firstColumn="1" w:lastColumn="1" w:noHBand="0" w:noVBand="0"/>
      </w:tblPr>
      <w:tblGrid>
        <w:gridCol w:w="2012"/>
        <w:gridCol w:w="1905"/>
        <w:gridCol w:w="2227"/>
        <w:gridCol w:w="1748"/>
        <w:gridCol w:w="1434"/>
      </w:tblGrid>
      <w:tr w:rsidR="00686EED" w:rsidRPr="00490FBB" w14:paraId="5238F44C"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B06A6EA" w14:textId="730AFFCD" w:rsidR="00686EED" w:rsidRPr="00490FBB" w:rsidRDefault="00686EED" w:rsidP="00C40CC4">
            <w:pPr>
              <w:pStyle w:val="TableHeading"/>
            </w:pPr>
            <w:bookmarkStart w:id="29" w:name="Title_Table2" w:colFirst="0" w:colLast="0"/>
            <w:r w:rsidRPr="00490FBB">
              <w:t>Comparative safety</w:t>
            </w:r>
            <w:r w:rsidRPr="00490FBB">
              <w:rPr>
                <w:color w:val="FFFFFF" w:themeColor="background1"/>
              </w:rPr>
              <w:t>-</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490FBB" w:rsidRDefault="00686EED" w:rsidP="00C40CC4">
            <w:pPr>
              <w:pStyle w:val="TableHeading"/>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29"/>
      <w:tr w:rsidR="00686EED" w:rsidRPr="00490FBB"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686EED" w:rsidP="00C40CC4">
            <w:pPr>
              <w:pStyle w:val="TableHeading"/>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C40CC4">
            <w:pPr>
              <w:pStyle w:val="TableHeading"/>
              <w:jc w:val="center"/>
            </w:pPr>
            <w:proofErr w:type="spellStart"/>
            <w:r w:rsidRPr="00490FBB">
              <w:t>Uncertain</w:t>
            </w:r>
            <w:r w:rsidRPr="00490FBB">
              <w:rPr>
                <w:vertAlign w:val="superscript"/>
              </w:rPr>
              <w:t>a</w:t>
            </w:r>
            <w:proofErr w:type="spellEnd"/>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686EED" w:rsidP="00C40CC4">
            <w:pPr>
              <w:pStyle w:val="TableHeading"/>
              <w:jc w:val="center"/>
            </w:pPr>
            <w:proofErr w:type="spellStart"/>
            <w:r w:rsidRPr="00490FBB">
              <w:t>Noninferior</w:t>
            </w:r>
            <w:r w:rsidRPr="00490FBB">
              <w:rPr>
                <w:vertAlign w:val="superscript"/>
              </w:rPr>
              <w:t>b</w:t>
            </w:r>
            <w:proofErr w:type="spellEnd"/>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C40CC4">
            <w:pPr>
              <w:pStyle w:val="TableHeading"/>
              <w:jc w:val="center"/>
            </w:pPr>
            <w:r w:rsidRPr="00490FBB">
              <w:t>Superior</w:t>
            </w:r>
          </w:p>
        </w:tc>
      </w:tr>
      <w:tr w:rsidR="000939E0" w:rsidRPr="00490FBB"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0939E0" w:rsidP="00C40CC4">
            <w:pPr>
              <w:pStyle w:val="Tabletext"/>
              <w:keepNext/>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C40CC4">
            <w:pPr>
              <w:pStyle w:val="Tabletext"/>
              <w:keepNext/>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0939E0" w:rsidP="00C40CC4">
            <w:pPr>
              <w:pStyle w:val="Tabletext"/>
              <w:keepNext/>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0939E0" w:rsidP="00C40CC4">
            <w:pPr>
              <w:pStyle w:val="Tabletext"/>
              <w:keepNext/>
            </w:pPr>
            <w:r w:rsidRPr="00490FBB">
              <w:t>? Likely CUA</w:t>
            </w:r>
          </w:p>
        </w:tc>
      </w:tr>
      <w:tr w:rsidR="000939E0" w:rsidRPr="00490FBB"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0939E0" w:rsidP="00C40CC4">
            <w:pPr>
              <w:pStyle w:val="Tabletext"/>
              <w:keepNext/>
            </w:pPr>
            <w:proofErr w:type="spellStart"/>
            <w:r w:rsidRPr="00490FBB">
              <w:t>Uncertain</w:t>
            </w:r>
            <w:r w:rsidRPr="00490FBB">
              <w:rPr>
                <w:vertAlign w:val="superscript"/>
              </w:rPr>
              <w:t>a</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C40CC4">
            <w:pPr>
              <w:pStyle w:val="Tabletext"/>
              <w:keepNext/>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C40CC4">
            <w:pPr>
              <w:pStyle w:val="Tabletext"/>
              <w:keepNext/>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C40CC4">
            <w:pPr>
              <w:pStyle w:val="Tabletext"/>
              <w:keepNext/>
            </w:pPr>
            <w:r w:rsidRPr="00490FBB">
              <w:t>? Likely CEA/CUA</w:t>
            </w:r>
          </w:p>
        </w:tc>
      </w:tr>
      <w:tr w:rsidR="000939E0" w:rsidRPr="00490FBB" w14:paraId="47335FF9"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490FBB" w:rsidRDefault="000939E0" w:rsidP="00C40CC4">
            <w:pPr>
              <w:pStyle w:val="Tabletext"/>
              <w:keepNext/>
            </w:pPr>
            <w:proofErr w:type="spellStart"/>
            <w:r w:rsidRPr="00490FBB">
              <w:t>Noninferior</w:t>
            </w:r>
            <w:r w:rsidRPr="00490FBB">
              <w:rPr>
                <w:vertAlign w:val="superscript"/>
              </w:rPr>
              <w:t>b</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12BD2E22" w14:textId="77777777" w:rsidR="000939E0" w:rsidRPr="00490FBB" w:rsidRDefault="000939E0" w:rsidP="00C40CC4">
            <w:pPr>
              <w:pStyle w:val="Tabletext"/>
              <w:keepNext/>
            </w:pPr>
            <w:r w:rsidRPr="00490FBB">
              <w:t>CMA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7E9F7AB5" w14:textId="77777777" w:rsidR="000939E0" w:rsidRPr="00490FBB" w:rsidRDefault="000939E0" w:rsidP="00C40CC4">
            <w:pPr>
              <w:pStyle w:val="Tabletext"/>
              <w:keepNext/>
            </w:pPr>
            <w:r w:rsidRPr="00490FBB">
              <w:t>CEA/CUA</w:t>
            </w:r>
          </w:p>
        </w:tc>
      </w:tr>
      <w:tr w:rsidR="000939E0" w:rsidRPr="00490FBB" w14:paraId="41AB5715"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C40CC4">
            <w:pPr>
              <w:pStyle w:val="Tabletext"/>
              <w:keepNext/>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C40CC4">
            <w:pPr>
              <w:pStyle w:val="Tabletext"/>
              <w:keepNext/>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0939E0" w:rsidP="00C40CC4">
            <w:pPr>
              <w:pStyle w:val="Tabletext"/>
              <w:keepNext/>
            </w:pPr>
            <w:r w:rsidRPr="00490FBB">
              <w:t>? Likely CEA/CUA</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71D0525C" w14:textId="77777777" w:rsidR="000939E0" w:rsidRPr="00490FBB" w:rsidRDefault="000939E0" w:rsidP="00C40CC4">
            <w:pPr>
              <w:pStyle w:val="Tabletext"/>
              <w:keepNext/>
            </w:pPr>
            <w:r w:rsidRPr="00490FBB">
              <w:t>CEA/CUA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FF47EA5" w14:textId="77777777" w:rsidR="000939E0" w:rsidRPr="00490FBB" w:rsidRDefault="000939E0" w:rsidP="00C40CC4">
            <w:pPr>
              <w:pStyle w:val="Tabletext"/>
              <w:keepNext/>
            </w:pPr>
            <w:r w:rsidRPr="00490FBB">
              <w:t>CEA/CUA</w:t>
            </w:r>
          </w:p>
        </w:tc>
      </w:tr>
    </w:tbl>
    <w:p w14:paraId="6538A3FB" w14:textId="77777777" w:rsidR="000939E0" w:rsidRPr="00490FBB" w:rsidRDefault="000939E0" w:rsidP="00C40CC4">
      <w:pPr>
        <w:pStyle w:val="Tablenotes"/>
        <w:keepNext/>
        <w:spacing w:before="120"/>
        <w:rPr>
          <w:szCs w:val="18"/>
        </w:rPr>
      </w:pPr>
      <w:r w:rsidRPr="00490FBB">
        <w:rPr>
          <w:szCs w:val="18"/>
        </w:rPr>
        <w:t>CEA=cost-effectiveness analysis; CMA=cost-minimisation analysis; CUA=cost-utility analysis</w:t>
      </w:r>
    </w:p>
    <w:p w14:paraId="48F7CED7" w14:textId="77777777" w:rsidR="000939E0" w:rsidRPr="00490FBB" w:rsidRDefault="000939E0" w:rsidP="00C40CC4">
      <w:pPr>
        <w:pStyle w:val="Tablenotes"/>
        <w:keepNext/>
        <w:rPr>
          <w:b/>
          <w:szCs w:val="18"/>
        </w:rPr>
      </w:pPr>
      <w:r w:rsidRPr="00490FBB">
        <w:rPr>
          <w:szCs w:val="18"/>
        </w:rPr>
        <w:t xml:space="preserve">? = reflect uncertainties and any identified health trade-offs in the economic evaluation, as a minimum in a cost-consequences analysis </w:t>
      </w:r>
    </w:p>
    <w:p w14:paraId="65C6F534" w14:textId="77777777" w:rsidR="000939E0" w:rsidRPr="00490FBB" w:rsidRDefault="000939E0" w:rsidP="00C40CC4">
      <w:pPr>
        <w:pStyle w:val="Tablenotes"/>
        <w:keepNext/>
        <w:rPr>
          <w:b/>
          <w:szCs w:val="18"/>
        </w:rPr>
      </w:pP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p>
    <w:p w14:paraId="1CB9C9B3" w14:textId="5CB9A3EC" w:rsidR="000939E0" w:rsidRPr="00490FBB" w:rsidRDefault="000939E0" w:rsidP="000939E0">
      <w:pPr>
        <w:pStyle w:val="Tablenotes"/>
        <w:rPr>
          <w:szCs w:val="18"/>
        </w:rPr>
      </w:pPr>
      <w:r w:rsidRPr="00490FBB">
        <w:rPr>
          <w:szCs w:val="18"/>
          <w:vertAlign w:val="superscript"/>
        </w:rPr>
        <w:t>b</w:t>
      </w:r>
      <w:r w:rsidRPr="00490FBB">
        <w:rPr>
          <w:szCs w:val="18"/>
        </w:rPr>
        <w:t> </w:t>
      </w:r>
      <w:proofErr w:type="gramStart"/>
      <w:r w:rsidRPr="00490FBB">
        <w:rPr>
          <w:szCs w:val="18"/>
        </w:rPr>
        <w:t>An</w:t>
      </w:r>
      <w:proofErr w:type="gramEnd"/>
      <w:r w:rsidRPr="00490FBB">
        <w:rPr>
          <w:szCs w:val="18"/>
        </w:rPr>
        <w:t xml:space="preserve"> adequate assessment of ‘noninferiority’ is the preferred basis for demonstrating equivalence</w:t>
      </w:r>
    </w:p>
    <w:p w14:paraId="047E4738" w14:textId="78013990" w:rsidR="00D73332" w:rsidRPr="00DE762F" w:rsidRDefault="00D73332" w:rsidP="00DE762F">
      <w:pPr>
        <w:pStyle w:val="Heading2"/>
      </w:pPr>
      <w:r w:rsidRPr="00DE762F">
        <w:t>Propos</w:t>
      </w:r>
      <w:r w:rsidR="000D1FCF" w:rsidRPr="00DE762F">
        <w:t>al for public funding</w:t>
      </w:r>
    </w:p>
    <w:p w14:paraId="73035AD1" w14:textId="4C9DE4A4" w:rsidR="00AE7B05" w:rsidRDefault="00AE7B05" w:rsidP="00AE7B05">
      <w:r>
        <w:t xml:space="preserve">The applicant is proposing the expanded reproductive carrier testing to be publicly funded through the MBS. </w:t>
      </w:r>
      <w:r w:rsidR="0045154C">
        <w:t xml:space="preserve">Six </w:t>
      </w:r>
      <w:r>
        <w:t>MBS item descriptors were proposed</w:t>
      </w:r>
      <w:r w:rsidR="0045154C">
        <w:t xml:space="preserve"> </w:t>
      </w:r>
      <w:r w:rsidR="00411241">
        <w:t xml:space="preserve">by the applicant </w:t>
      </w:r>
      <w:r w:rsidR="0045154C">
        <w:t xml:space="preserve">(described in detail below): </w:t>
      </w:r>
      <w:r w:rsidR="009D3EFA">
        <w:t>o</w:t>
      </w:r>
      <w:r w:rsidR="0045154C">
        <w:t xml:space="preserve">ne each for </w:t>
      </w:r>
      <w:r w:rsidR="00EE3B8B">
        <w:t xml:space="preserve">testing </w:t>
      </w:r>
      <w:r w:rsidR="0045154C">
        <w:t xml:space="preserve">an individual </w:t>
      </w:r>
      <w:r w:rsidR="00233B2B">
        <w:t>of reproductive age</w:t>
      </w:r>
      <w:r w:rsidR="0045154C">
        <w:t>,</w:t>
      </w:r>
      <w:r w:rsidR="00A77FE6">
        <w:t xml:space="preserve"> </w:t>
      </w:r>
      <w:r w:rsidR="001F1746">
        <w:t xml:space="preserve">their reproductive </w:t>
      </w:r>
      <w:r w:rsidR="0045154C">
        <w:t xml:space="preserve">partner, </w:t>
      </w:r>
      <w:r w:rsidR="00EE3B8B">
        <w:t>a first-degree biological relative of a</w:t>
      </w:r>
      <w:r w:rsidR="00A80F90">
        <w:t>n</w:t>
      </w:r>
      <w:r w:rsidR="00427C44">
        <w:t xml:space="preserve"> </w:t>
      </w:r>
      <w:r w:rsidR="003146E7">
        <w:t>individual found</w:t>
      </w:r>
      <w:r w:rsidR="00EE3B8B">
        <w:t xml:space="preserve"> to be a carrier, re</w:t>
      </w:r>
      <w:r w:rsidR="00233B2B">
        <w:t>-</w:t>
      </w:r>
      <w:r w:rsidR="00EE3B8B">
        <w:t>analysis of genetic test results to identify previously unreported pathogenic or likely pathogenic variants in</w:t>
      </w:r>
      <w:r w:rsidR="00E117E0">
        <w:t xml:space="preserve"> the</w:t>
      </w:r>
      <w:r w:rsidR="00EE3B8B">
        <w:t xml:space="preserve"> </w:t>
      </w:r>
      <w:r w:rsidR="009C687F">
        <w:t xml:space="preserve">panel </w:t>
      </w:r>
      <w:r w:rsidR="00EE3B8B">
        <w:t>genes, and interpretation of test results previously performed on two individuals for the purpose of determining the couple’s reproductive risk of the condition.</w:t>
      </w:r>
    </w:p>
    <w:p w14:paraId="7988B252" w14:textId="77777777" w:rsidR="00F522A3" w:rsidRDefault="00AE7B05" w:rsidP="00D96AD9">
      <w:r>
        <w:t>The applicant estimates test</w:t>
      </w:r>
      <w:r w:rsidR="0045154C">
        <w:t>ing an individual, or a pregnant woman or a pregnant woman’s male reproductive partner</w:t>
      </w:r>
      <w:r>
        <w:t xml:space="preserve"> would cost approximately $</w:t>
      </w:r>
      <w:r w:rsidR="0045154C">
        <w:t>600 each</w:t>
      </w:r>
      <w:r w:rsidR="009D23FD">
        <w:t>; all other testing or re</w:t>
      </w:r>
      <w:r w:rsidR="00233B2B">
        <w:t>-</w:t>
      </w:r>
      <w:r w:rsidR="009D23FD">
        <w:t>analysis would cost $100 each.</w:t>
      </w:r>
    </w:p>
    <w:p w14:paraId="10A28ACE" w14:textId="77777777" w:rsidR="00F522A3" w:rsidRPr="00A37ED1" w:rsidRDefault="00F522A3" w:rsidP="00F522A3">
      <w:pPr>
        <w:rPr>
          <w:i/>
          <w:iCs/>
        </w:rPr>
      </w:pPr>
      <w:r w:rsidRPr="00A37ED1">
        <w:rPr>
          <w:i/>
          <w:iCs/>
        </w:rPr>
        <w:lastRenderedPageBreak/>
        <w:t>PASC agreed with the following items:</w:t>
      </w:r>
    </w:p>
    <w:p w14:paraId="46B3A8D9" w14:textId="2A06A809" w:rsidR="00F522A3" w:rsidRPr="00A37ED1" w:rsidRDefault="00F522A3" w:rsidP="00F522A3">
      <w:pPr>
        <w:pStyle w:val="ListParagraph"/>
        <w:numPr>
          <w:ilvl w:val="0"/>
          <w:numId w:val="17"/>
        </w:numPr>
        <w:rPr>
          <w:i/>
          <w:iCs/>
        </w:rPr>
      </w:pPr>
      <w:r w:rsidRPr="00A37ED1">
        <w:rPr>
          <w:i/>
          <w:iCs/>
        </w:rPr>
        <w:t>Item AAAA</w:t>
      </w:r>
    </w:p>
    <w:p w14:paraId="75617205" w14:textId="0024A756" w:rsidR="00F522A3" w:rsidRPr="00A37ED1" w:rsidRDefault="00F522A3" w:rsidP="00F522A3">
      <w:pPr>
        <w:pStyle w:val="ListParagraph"/>
        <w:numPr>
          <w:ilvl w:val="0"/>
          <w:numId w:val="17"/>
        </w:numPr>
        <w:rPr>
          <w:i/>
          <w:iCs/>
        </w:rPr>
      </w:pPr>
      <w:r w:rsidRPr="00A37ED1">
        <w:rPr>
          <w:i/>
          <w:iCs/>
        </w:rPr>
        <w:t>Item CCCC</w:t>
      </w:r>
    </w:p>
    <w:p w14:paraId="3660229A" w14:textId="1BD5CFEC" w:rsidR="00F522A3" w:rsidRPr="00A37ED1" w:rsidRDefault="00F522A3" w:rsidP="00F522A3">
      <w:pPr>
        <w:pStyle w:val="ListParagraph"/>
        <w:numPr>
          <w:ilvl w:val="0"/>
          <w:numId w:val="17"/>
        </w:numPr>
        <w:rPr>
          <w:i/>
          <w:iCs/>
        </w:rPr>
      </w:pPr>
      <w:r w:rsidRPr="00A37ED1">
        <w:rPr>
          <w:i/>
          <w:iCs/>
        </w:rPr>
        <w:t>Item DDDD</w:t>
      </w:r>
    </w:p>
    <w:p w14:paraId="211C404B" w14:textId="0378600E" w:rsidR="00F522A3" w:rsidRPr="00A37ED1" w:rsidRDefault="00F522A3" w:rsidP="00F522A3">
      <w:pPr>
        <w:pStyle w:val="ListParagraph"/>
        <w:numPr>
          <w:ilvl w:val="0"/>
          <w:numId w:val="17"/>
        </w:numPr>
        <w:rPr>
          <w:i/>
          <w:iCs/>
        </w:rPr>
      </w:pPr>
      <w:r w:rsidRPr="00A37ED1">
        <w:rPr>
          <w:i/>
          <w:iCs/>
        </w:rPr>
        <w:t>Item EEEE</w:t>
      </w:r>
    </w:p>
    <w:p w14:paraId="53DB48A0" w14:textId="13339B94" w:rsidR="00F522A3" w:rsidRDefault="00F522A3" w:rsidP="00F522A3">
      <w:pPr>
        <w:pStyle w:val="ListParagraph"/>
        <w:numPr>
          <w:ilvl w:val="0"/>
          <w:numId w:val="17"/>
        </w:numPr>
      </w:pPr>
      <w:r w:rsidRPr="00A37ED1">
        <w:rPr>
          <w:i/>
          <w:iCs/>
        </w:rPr>
        <w:t>Item GGGG</w:t>
      </w:r>
    </w:p>
    <w:p w14:paraId="16627E97" w14:textId="78625B38" w:rsidR="005C0F9D" w:rsidRPr="00BD033B" w:rsidRDefault="005C0F9D" w:rsidP="00833185">
      <w:r w:rsidRPr="00467098">
        <w:rPr>
          <w:i/>
          <w:iCs/>
        </w:rPr>
        <w:t xml:space="preserve">At the post-PASC meeting the applicant agreed this application is to be restricted to the Ashkenazi Jewish population (though other ethnicities </w:t>
      </w:r>
      <w:r w:rsidR="005825C7" w:rsidRPr="00467098">
        <w:rPr>
          <w:i/>
          <w:iCs/>
        </w:rPr>
        <w:t xml:space="preserve">that confer a &gt;10% personal risk of being a carrier for specific gene variants </w:t>
      </w:r>
      <w:r w:rsidRPr="00467098">
        <w:rPr>
          <w:i/>
          <w:iCs/>
        </w:rPr>
        <w:t>may be the subject of future applications).</w:t>
      </w:r>
      <w:r>
        <w:t xml:space="preserve"> Item AAAA will therefore be for the testing of the genes specified in this application</w:t>
      </w:r>
      <w:r w:rsidR="00BD033B">
        <w:t xml:space="preserve"> for the Ashkenazi Jewish population (plus </w:t>
      </w:r>
      <w:r w:rsidR="00BD033B">
        <w:rPr>
          <w:i/>
          <w:iCs/>
        </w:rPr>
        <w:t xml:space="preserve">CFTR, SMN1 </w:t>
      </w:r>
      <w:r w:rsidR="00BD033B" w:rsidRPr="00BD033B">
        <w:t>and</w:t>
      </w:r>
      <w:r w:rsidR="00BD033B">
        <w:rPr>
          <w:i/>
          <w:iCs/>
        </w:rPr>
        <w:t xml:space="preserve"> FMR1</w:t>
      </w:r>
      <w:r w:rsidR="00BD033B">
        <w:t xml:space="preserve"> in the item descriptor </w:t>
      </w:r>
      <w:r w:rsidR="009C1679">
        <w:t xml:space="preserve">and actual testing conducted, </w:t>
      </w:r>
      <w:r w:rsidR="00BD033B">
        <w:t>though not the economic analysis as they are part of the base case comparator).</w:t>
      </w:r>
      <w:r w:rsidR="005E397F">
        <w:t xml:space="preserve"> </w:t>
      </w:r>
      <w:r w:rsidR="005E397F" w:rsidRPr="005E397F">
        <w:t>The practice notes for item CCCC therefore no longer need to include other ethnicities.</w:t>
      </w:r>
    </w:p>
    <w:p w14:paraId="63C66F73" w14:textId="528ADF9D" w:rsidR="00833185" w:rsidRPr="00667042" w:rsidRDefault="00833185" w:rsidP="00833185">
      <w:pPr>
        <w:rPr>
          <w:i/>
          <w:iCs/>
        </w:rPr>
      </w:pPr>
      <w:r w:rsidRPr="00667042">
        <w:rPr>
          <w:i/>
          <w:iCs/>
        </w:rPr>
        <w:t>PASC removed the applicant’s proposed item BBBB, testing of pregnant patients, on the basis that pregnant patients are of reproductive age and so would be able to access publicly funded testing under proposed item AAAA.</w:t>
      </w:r>
    </w:p>
    <w:p w14:paraId="60AAD92B" w14:textId="2F4A34B6" w:rsidR="00833185" w:rsidRDefault="00833185" w:rsidP="00833185">
      <w:r w:rsidRPr="00467098">
        <w:rPr>
          <w:i/>
          <w:iCs/>
        </w:rPr>
        <w:t>PASC removed Item FFFF, interpretation of genetic carrier test results, on the basis that it would be unnecessary to support medical practitioners in providing advice to couples</w:t>
      </w:r>
      <w:r w:rsidR="00F522A3">
        <w:t>.</w:t>
      </w:r>
    </w:p>
    <w:p w14:paraId="25039B08" w14:textId="37D31F9D" w:rsidR="00A77FE6" w:rsidRDefault="00A77FE6" w:rsidP="00F522A3">
      <w:r w:rsidRPr="00467098">
        <w:rPr>
          <w:i/>
        </w:rPr>
        <w:t>At the post-PASC meeting, the applicant agreed that a separate item for the cascade testing of FDRs (DDDD) is not needed as this population have &gt;10% personal risk and so are already captured under AAAA</w:t>
      </w:r>
      <w:r w:rsidRPr="00A77FE6">
        <w:rPr>
          <w:iCs/>
        </w:rPr>
        <w:t>.</w:t>
      </w:r>
    </w:p>
    <w:p w14:paraId="4220F992" w14:textId="60593726" w:rsidR="00F5698D" w:rsidRPr="00467098" w:rsidRDefault="00833185" w:rsidP="00F522A3">
      <w:pPr>
        <w:rPr>
          <w:i/>
          <w:iCs/>
        </w:rPr>
      </w:pPr>
      <w:r w:rsidRPr="00467098">
        <w:rPr>
          <w:i/>
          <w:iCs/>
        </w:rPr>
        <w:t>PASC advised that the proposed fees should be justified based on the cost to conduct the test, as some appear to be higher than the cost of similar testing with private providers (</w:t>
      </w:r>
      <w:proofErr w:type="gramStart"/>
      <w:r w:rsidRPr="00467098">
        <w:rPr>
          <w:i/>
          <w:iCs/>
        </w:rPr>
        <w:t>e.g.</w:t>
      </w:r>
      <w:proofErr w:type="gramEnd"/>
      <w:r w:rsidRPr="00467098">
        <w:rPr>
          <w:i/>
          <w:iCs/>
        </w:rPr>
        <w:t xml:space="preserve"> $330 for an eight gene Ashkenazi Jewish panel). PASC also advised the fee for GGGG (</w:t>
      </w:r>
      <w:proofErr w:type="spellStart"/>
      <w:r w:rsidRPr="00467098">
        <w:rPr>
          <w:i/>
          <w:iCs/>
        </w:rPr>
        <w:t>fetal</w:t>
      </w:r>
      <w:proofErr w:type="spellEnd"/>
      <w:r w:rsidRPr="00467098">
        <w:rPr>
          <w:i/>
          <w:iCs/>
        </w:rPr>
        <w:t xml:space="preserve"> testing for a known familial variant) may need be increased.</w:t>
      </w:r>
    </w:p>
    <w:p w14:paraId="1262E35F" w14:textId="086F89EB" w:rsidR="00411241" w:rsidRDefault="00411241" w:rsidP="00411241">
      <w:pPr>
        <w:pStyle w:val="Heading3"/>
      </w:pPr>
      <w:r>
        <w:t>Applicant’s proposed item descriptors</w:t>
      </w:r>
    </w:p>
    <w:tbl>
      <w:tblPr>
        <w:tblStyle w:val="TableGrid"/>
        <w:tblW w:w="0" w:type="auto"/>
        <w:tblInd w:w="0" w:type="dxa"/>
        <w:tblLook w:val="04A0" w:firstRow="1" w:lastRow="0" w:firstColumn="1" w:lastColumn="0" w:noHBand="0" w:noVBand="1"/>
      </w:tblPr>
      <w:tblGrid>
        <w:gridCol w:w="9016"/>
      </w:tblGrid>
      <w:tr w:rsidR="00411241" w:rsidRPr="00DE3D6C" w14:paraId="780C97CF" w14:textId="77777777" w:rsidTr="00474C71">
        <w:tc>
          <w:tcPr>
            <w:tcW w:w="9016" w:type="dxa"/>
          </w:tcPr>
          <w:p w14:paraId="32EAE2D3" w14:textId="77777777" w:rsidR="00411241" w:rsidRPr="00DE3D6C" w:rsidRDefault="00411241" w:rsidP="00474C71">
            <w:pPr>
              <w:pStyle w:val="Tabletext"/>
            </w:pPr>
            <w:r w:rsidRPr="00DB11DC">
              <w:t>Category 6 (Pathology Services) – Group P7 Genetics</w:t>
            </w:r>
          </w:p>
        </w:tc>
      </w:tr>
      <w:tr w:rsidR="00411241" w:rsidRPr="00DE3D6C" w14:paraId="7633B177" w14:textId="77777777" w:rsidTr="00474C71">
        <w:tc>
          <w:tcPr>
            <w:tcW w:w="9016" w:type="dxa"/>
          </w:tcPr>
          <w:p w14:paraId="1628D444" w14:textId="77777777" w:rsidR="00411241" w:rsidRDefault="00411241" w:rsidP="00474C71">
            <w:pPr>
              <w:pStyle w:val="Tabletext"/>
            </w:pPr>
            <w:r>
              <w:t>MBS item AAAA</w:t>
            </w:r>
          </w:p>
          <w:p w14:paraId="3763F61E" w14:textId="77777777" w:rsidR="00411241" w:rsidRDefault="00411241" w:rsidP="00474C71">
            <w:pPr>
              <w:pStyle w:val="Tabletext"/>
            </w:pPr>
          </w:p>
          <w:p w14:paraId="10E5A655" w14:textId="77777777" w:rsidR="00411241" w:rsidRDefault="00411241" w:rsidP="00474C71">
            <w:pPr>
              <w:pStyle w:val="Tabletext"/>
            </w:pPr>
            <w:r w:rsidRPr="0005799A">
              <w:t>Testing of asymptomatic individuals of reproductive age</w:t>
            </w:r>
            <w:r>
              <w:t>, who are</w:t>
            </w:r>
            <w:r w:rsidRPr="0005799A">
              <w:t xml:space="preserve"> </w:t>
            </w:r>
            <w:r>
              <w:t>able to provide informed consent,</w:t>
            </w:r>
            <w:r w:rsidRPr="0005799A">
              <w:t xml:space="preserve"> for the presence of a pathogenic or likely pathogenic variant(s) in order to ascertain their carrier status, in a panel of genes that must include variants in the cystic fibrosis transmembrane conductance regulator (</w:t>
            </w:r>
            <w:r w:rsidRPr="00C406F7">
              <w:rPr>
                <w:i/>
                <w:iCs/>
              </w:rPr>
              <w:t>CFTR</w:t>
            </w:r>
            <w:r w:rsidRPr="0005799A">
              <w:t>), survival motor neuron 1 (</w:t>
            </w:r>
            <w:r w:rsidRPr="00C406F7">
              <w:rPr>
                <w:i/>
                <w:iCs/>
              </w:rPr>
              <w:t>SMN1</w:t>
            </w:r>
            <w:r w:rsidRPr="0005799A">
              <w:t>), fragile X mental retardation 1 (</w:t>
            </w:r>
            <w:r w:rsidRPr="00C406F7">
              <w:rPr>
                <w:i/>
                <w:iCs/>
              </w:rPr>
              <w:t>FMR1</w:t>
            </w:r>
            <w:r w:rsidRPr="0005799A">
              <w:t>) genes in addition to at least other genes relevant to the ancestry of that individual, requested by or on behalf of a medical practitioner who manages the treatment of the patient.</w:t>
            </w:r>
          </w:p>
          <w:p w14:paraId="552ABEA7" w14:textId="77777777" w:rsidR="00411241" w:rsidRPr="0005799A" w:rsidRDefault="00411241" w:rsidP="00474C71">
            <w:pPr>
              <w:pStyle w:val="Tabletext"/>
            </w:pPr>
          </w:p>
          <w:p w14:paraId="63E0FA36" w14:textId="4B225604" w:rsidR="00411241" w:rsidRDefault="00411241" w:rsidP="00474C71">
            <w:pPr>
              <w:pStyle w:val="Tabletext"/>
            </w:pPr>
            <w:r w:rsidRPr="0005799A">
              <w:t>Individuals must have a &gt;10% personal risk of being a genetic carrier of serious clinical disorders associated with pathogenic or likely pathogenic variants of genes in the testing panel.</w:t>
            </w:r>
          </w:p>
          <w:p w14:paraId="48EBD8E3" w14:textId="77777777" w:rsidR="00411241" w:rsidRPr="0005799A" w:rsidRDefault="00411241" w:rsidP="00474C71">
            <w:pPr>
              <w:pStyle w:val="Tabletext"/>
            </w:pPr>
          </w:p>
          <w:p w14:paraId="1AEC4C31" w14:textId="77777777" w:rsidR="00411241" w:rsidRPr="00DE3D6C" w:rsidRDefault="00411241" w:rsidP="00474C71">
            <w:pPr>
              <w:pStyle w:val="Tabletext"/>
            </w:pPr>
            <w:r w:rsidRPr="0005799A">
              <w:t>One test per lifetime.</w:t>
            </w:r>
          </w:p>
        </w:tc>
      </w:tr>
      <w:tr w:rsidR="00411241" w:rsidRPr="00DE3D6C" w14:paraId="0D438FE7" w14:textId="77777777" w:rsidTr="00474C71">
        <w:tc>
          <w:tcPr>
            <w:tcW w:w="9016" w:type="dxa"/>
          </w:tcPr>
          <w:p w14:paraId="382C0EE1" w14:textId="77777777" w:rsidR="00411241" w:rsidRDefault="00411241" w:rsidP="00474C71">
            <w:pPr>
              <w:pStyle w:val="Tabletext"/>
            </w:pPr>
            <w:r w:rsidRPr="0005799A">
              <w:t>Fee:  $600</w:t>
            </w:r>
          </w:p>
        </w:tc>
      </w:tr>
    </w:tbl>
    <w:p w14:paraId="73F4534D" w14:textId="77777777" w:rsidR="00411241" w:rsidRDefault="00411241" w:rsidP="00411241"/>
    <w:tbl>
      <w:tblPr>
        <w:tblStyle w:val="TableGrid"/>
        <w:tblW w:w="0" w:type="auto"/>
        <w:tblInd w:w="0" w:type="dxa"/>
        <w:tblLook w:val="04A0" w:firstRow="1" w:lastRow="0" w:firstColumn="1" w:lastColumn="0" w:noHBand="0" w:noVBand="1"/>
      </w:tblPr>
      <w:tblGrid>
        <w:gridCol w:w="9016"/>
      </w:tblGrid>
      <w:tr w:rsidR="00411241" w:rsidRPr="00DE3D6C" w14:paraId="7034217D" w14:textId="77777777" w:rsidTr="00474C71">
        <w:tc>
          <w:tcPr>
            <w:tcW w:w="9016" w:type="dxa"/>
          </w:tcPr>
          <w:p w14:paraId="7F2CAEA0" w14:textId="77777777" w:rsidR="00411241" w:rsidRPr="0005799A" w:rsidRDefault="00411241" w:rsidP="00474C71">
            <w:pPr>
              <w:pStyle w:val="Tabletext"/>
            </w:pPr>
            <w:r w:rsidRPr="0005799A">
              <w:t>Category 6 (Pathology Services) – Group P7 Genetics</w:t>
            </w:r>
          </w:p>
        </w:tc>
      </w:tr>
      <w:tr w:rsidR="00411241" w:rsidRPr="00DE3D6C" w14:paraId="726F0A8F" w14:textId="77777777" w:rsidTr="00474C71">
        <w:tc>
          <w:tcPr>
            <w:tcW w:w="9016" w:type="dxa"/>
          </w:tcPr>
          <w:p w14:paraId="1AF5B1DF" w14:textId="77777777" w:rsidR="00411241" w:rsidRDefault="00411241" w:rsidP="00474C71">
            <w:pPr>
              <w:pStyle w:val="Tabletext"/>
            </w:pPr>
            <w:r>
              <w:t>MBS item BBBB</w:t>
            </w:r>
          </w:p>
          <w:p w14:paraId="5EB57C6B" w14:textId="77777777" w:rsidR="00411241" w:rsidRDefault="00411241" w:rsidP="00474C71">
            <w:pPr>
              <w:pStyle w:val="Tabletext"/>
            </w:pPr>
          </w:p>
          <w:p w14:paraId="73730EDA" w14:textId="77777777" w:rsidR="00411241" w:rsidRDefault="00411241" w:rsidP="00474C71">
            <w:pPr>
              <w:pStyle w:val="Tabletext"/>
            </w:pPr>
            <w:r w:rsidRPr="0005799A">
              <w:t xml:space="preserve">Testing of a pregnant female for the presence of a pathogenic or likely pathogenic variant(s) in order to ascertain their carrier status, in a panel of genes that must include variants in the cystic fibrosis transmembrane conductance regulator </w:t>
            </w:r>
            <w:r w:rsidRPr="0005799A">
              <w:lastRenderedPageBreak/>
              <w:t>(</w:t>
            </w:r>
            <w:r w:rsidRPr="00C406F7">
              <w:rPr>
                <w:i/>
                <w:iCs/>
              </w:rPr>
              <w:t>CFTR</w:t>
            </w:r>
            <w:r w:rsidRPr="0005799A">
              <w:t>), survival motor neuron 1 (</w:t>
            </w:r>
            <w:r w:rsidRPr="00C406F7">
              <w:rPr>
                <w:i/>
                <w:iCs/>
              </w:rPr>
              <w:t>SMN1</w:t>
            </w:r>
            <w:r w:rsidRPr="0005799A">
              <w:t>), fragile X mental retardation 1 (</w:t>
            </w:r>
            <w:r w:rsidRPr="00C406F7">
              <w:rPr>
                <w:i/>
                <w:iCs/>
              </w:rPr>
              <w:t>FMR1</w:t>
            </w:r>
            <w:r w:rsidRPr="0005799A">
              <w:t xml:space="preserve">) genes in addition to at least 3 other genes relevant to the ancestry of that individual, requested by or on behalf of a specialist or medical practitioner who manages the treatment of the patient. </w:t>
            </w:r>
          </w:p>
          <w:p w14:paraId="200DB64F" w14:textId="77777777" w:rsidR="00411241" w:rsidRPr="0005799A" w:rsidRDefault="00411241" w:rsidP="00474C71">
            <w:pPr>
              <w:pStyle w:val="Tabletext"/>
            </w:pPr>
          </w:p>
          <w:p w14:paraId="4917CAF1" w14:textId="1B3B8B01" w:rsidR="00411241" w:rsidRDefault="00411241" w:rsidP="00474C71">
            <w:pPr>
              <w:pStyle w:val="Tabletext"/>
            </w:pPr>
            <w:r>
              <w:t>Pregnant women</w:t>
            </w:r>
            <w:r w:rsidRPr="0005799A">
              <w:t xml:space="preserve"> must have a &gt;10% personal risk of being a genetic carrier of serious clinical disorders associated with pathogenic or likely pathogenic variants of genes in the testing panel.</w:t>
            </w:r>
          </w:p>
          <w:p w14:paraId="30D15C03" w14:textId="77777777" w:rsidR="00411241" w:rsidRPr="0005799A" w:rsidRDefault="00411241" w:rsidP="00474C71">
            <w:pPr>
              <w:pStyle w:val="Tabletext"/>
            </w:pPr>
          </w:p>
          <w:p w14:paraId="6AC3BE79" w14:textId="77777777" w:rsidR="00411241" w:rsidRPr="0005799A" w:rsidRDefault="00411241" w:rsidP="00474C71">
            <w:pPr>
              <w:pStyle w:val="Tabletext"/>
            </w:pPr>
            <w:r w:rsidRPr="0005799A">
              <w:t>One test per lifetime.</w:t>
            </w:r>
          </w:p>
        </w:tc>
      </w:tr>
      <w:tr w:rsidR="00411241" w:rsidRPr="00DE3D6C" w14:paraId="5CB2F754" w14:textId="77777777" w:rsidTr="00474C71">
        <w:tc>
          <w:tcPr>
            <w:tcW w:w="9016" w:type="dxa"/>
          </w:tcPr>
          <w:p w14:paraId="28F511A7" w14:textId="77777777" w:rsidR="00411241" w:rsidRDefault="00411241" w:rsidP="00474C71">
            <w:pPr>
              <w:pStyle w:val="Tabletext"/>
            </w:pPr>
            <w:r w:rsidRPr="00DE3D6C">
              <w:lastRenderedPageBreak/>
              <w:t xml:space="preserve">Fee:  </w:t>
            </w:r>
            <w:r w:rsidRPr="0005799A">
              <w:t>$600</w:t>
            </w:r>
          </w:p>
        </w:tc>
      </w:tr>
    </w:tbl>
    <w:p w14:paraId="58C72C2D" w14:textId="77777777" w:rsidR="00411241" w:rsidRDefault="00411241" w:rsidP="00411241">
      <w:pPr>
        <w:pStyle w:val="Tabletext"/>
      </w:pPr>
    </w:p>
    <w:tbl>
      <w:tblPr>
        <w:tblStyle w:val="TableGrid"/>
        <w:tblW w:w="0" w:type="auto"/>
        <w:tblInd w:w="0" w:type="dxa"/>
        <w:tblLook w:val="04A0" w:firstRow="1" w:lastRow="0" w:firstColumn="1" w:lastColumn="0" w:noHBand="0" w:noVBand="1"/>
      </w:tblPr>
      <w:tblGrid>
        <w:gridCol w:w="9016"/>
      </w:tblGrid>
      <w:tr w:rsidR="00411241" w:rsidRPr="00DE3D6C" w14:paraId="7223531E" w14:textId="77777777" w:rsidTr="00474C71">
        <w:tc>
          <w:tcPr>
            <w:tcW w:w="9016" w:type="dxa"/>
          </w:tcPr>
          <w:p w14:paraId="6BF6B24E" w14:textId="77777777" w:rsidR="00411241" w:rsidRPr="00DE3D6C" w:rsidRDefault="00411241" w:rsidP="00474C71">
            <w:pPr>
              <w:pStyle w:val="Tabletext"/>
            </w:pPr>
            <w:r w:rsidRPr="00DB11DC">
              <w:t>Category 6 (Pathology Services) – Group P7 Genetics</w:t>
            </w:r>
          </w:p>
        </w:tc>
      </w:tr>
      <w:tr w:rsidR="00411241" w:rsidRPr="00DE3D6C" w14:paraId="7A239356" w14:textId="77777777" w:rsidTr="00474C71">
        <w:tc>
          <w:tcPr>
            <w:tcW w:w="9016" w:type="dxa"/>
          </w:tcPr>
          <w:p w14:paraId="50389E9B" w14:textId="77777777" w:rsidR="00411241" w:rsidRDefault="00411241" w:rsidP="00474C71">
            <w:pPr>
              <w:pStyle w:val="Tabletext"/>
            </w:pPr>
            <w:r>
              <w:t>MBS item CCCC</w:t>
            </w:r>
          </w:p>
          <w:p w14:paraId="27299220" w14:textId="77777777" w:rsidR="00411241" w:rsidRDefault="00411241" w:rsidP="00474C71">
            <w:pPr>
              <w:pStyle w:val="Tabletext"/>
            </w:pPr>
          </w:p>
          <w:p w14:paraId="00D7AC19" w14:textId="5103DEED" w:rsidR="00411241" w:rsidRDefault="00411241" w:rsidP="00474C71">
            <w:pPr>
              <w:pStyle w:val="Tabletext"/>
            </w:pPr>
            <w:r>
              <w:t>Concurrent prenatal genetic testing, regardless of pre-test risk, of the male reproductive partner of a pregnant female who has a &gt;10% personal risk of being a heterozygous genetic carrier of serious clinical disorders associated with pathogenic or likely pathogenic variants of genes as described in in BBBB, for the purpose of determining the couple’s reproductive risk of this condition. Requested by or on behalf of a specialist or consultant physician who manages the treatment of the patient.</w:t>
            </w:r>
          </w:p>
          <w:p w14:paraId="6CF1DFB8" w14:textId="77777777" w:rsidR="00411241" w:rsidRDefault="00411241" w:rsidP="00474C71">
            <w:pPr>
              <w:pStyle w:val="Tabletext"/>
            </w:pPr>
          </w:p>
          <w:p w14:paraId="16208F3B" w14:textId="77777777" w:rsidR="00411241" w:rsidRPr="00DE3D6C" w:rsidRDefault="00411241" w:rsidP="00474C71">
            <w:pPr>
              <w:pStyle w:val="Tabletext"/>
            </w:pPr>
            <w:r>
              <w:t>One test per lifetime.</w:t>
            </w:r>
          </w:p>
        </w:tc>
      </w:tr>
      <w:tr w:rsidR="00411241" w:rsidRPr="00DE3D6C" w14:paraId="2028BA8C" w14:textId="77777777" w:rsidTr="00474C71">
        <w:tc>
          <w:tcPr>
            <w:tcW w:w="9016" w:type="dxa"/>
          </w:tcPr>
          <w:p w14:paraId="41D84054" w14:textId="77777777" w:rsidR="00411241" w:rsidRDefault="00411241" w:rsidP="00474C71">
            <w:pPr>
              <w:pStyle w:val="Tabletext"/>
            </w:pPr>
            <w:r>
              <w:t>Fee:  $600</w:t>
            </w:r>
          </w:p>
        </w:tc>
      </w:tr>
    </w:tbl>
    <w:p w14:paraId="55895324" w14:textId="77777777" w:rsidR="00411241" w:rsidRDefault="00411241" w:rsidP="00411241"/>
    <w:p w14:paraId="10477475" w14:textId="132741D6" w:rsidR="00411241" w:rsidRPr="00774252" w:rsidRDefault="00411241" w:rsidP="00411241">
      <w:pPr>
        <w:rPr>
          <w:szCs w:val="20"/>
        </w:rPr>
      </w:pPr>
      <w:r w:rsidRPr="00DB73B5">
        <w:t>Note 1</w:t>
      </w:r>
      <w:r w:rsidRPr="00774252">
        <w:t xml:space="preserve">: For individuals of Ashkenazi Jewish ancestry, the panel of genes </w:t>
      </w:r>
      <w:r w:rsidRPr="00774252">
        <w:rPr>
          <w:i/>
          <w:iCs/>
        </w:rPr>
        <w:t>must also</w:t>
      </w:r>
      <w:r w:rsidRPr="00774252">
        <w:t xml:space="preserve"> include </w:t>
      </w:r>
      <w:r w:rsidRPr="00774252">
        <w:rPr>
          <w:i/>
          <w:iCs/>
          <w:szCs w:val="20"/>
        </w:rPr>
        <w:t>HEXA</w:t>
      </w:r>
      <w:r w:rsidRPr="00774252">
        <w:rPr>
          <w:szCs w:val="20"/>
        </w:rPr>
        <w:t xml:space="preserve"> and should also include at least the following genes:</w:t>
      </w:r>
      <w:r w:rsidRPr="00774252">
        <w:rPr>
          <w:i/>
          <w:iCs/>
          <w:szCs w:val="20"/>
        </w:rPr>
        <w:t xml:space="preserve"> </w:t>
      </w:r>
      <w:r w:rsidR="00FC7F18">
        <w:rPr>
          <w:i/>
          <w:iCs/>
          <w:szCs w:val="20"/>
        </w:rPr>
        <w:t>ELP1</w:t>
      </w:r>
      <w:r w:rsidRPr="00774252">
        <w:rPr>
          <w:i/>
          <w:iCs/>
          <w:szCs w:val="20"/>
        </w:rPr>
        <w:t xml:space="preserve">, SMPD1, ASPA, FANCC, </w:t>
      </w:r>
      <w:r w:rsidR="00FC7F18">
        <w:rPr>
          <w:i/>
          <w:iCs/>
          <w:szCs w:val="20"/>
        </w:rPr>
        <w:t>BLM</w:t>
      </w:r>
      <w:r w:rsidRPr="00774252">
        <w:rPr>
          <w:i/>
          <w:iCs/>
          <w:szCs w:val="20"/>
        </w:rPr>
        <w:t xml:space="preserve"> </w:t>
      </w:r>
      <w:r w:rsidRPr="00774252">
        <w:rPr>
          <w:szCs w:val="20"/>
        </w:rPr>
        <w:t xml:space="preserve">and </w:t>
      </w:r>
      <w:r w:rsidRPr="00774252">
        <w:rPr>
          <w:i/>
          <w:iCs/>
          <w:szCs w:val="20"/>
        </w:rPr>
        <w:t>MCOLN1</w:t>
      </w:r>
      <w:r w:rsidRPr="00774252">
        <w:rPr>
          <w:szCs w:val="20"/>
        </w:rPr>
        <w:t xml:space="preserve">. Additional genes </w:t>
      </w:r>
      <w:r w:rsidRPr="00267810">
        <w:rPr>
          <w:szCs w:val="20"/>
        </w:rPr>
        <w:t>may also</w:t>
      </w:r>
      <w:r w:rsidRPr="00774252">
        <w:rPr>
          <w:szCs w:val="20"/>
        </w:rPr>
        <w:t xml:space="preserve"> be included in the panel</w:t>
      </w:r>
      <w:r>
        <w:rPr>
          <w:szCs w:val="20"/>
        </w:rPr>
        <w:t xml:space="preserve"> using standardised pathology lists of genes ethnic risk.</w:t>
      </w:r>
    </w:p>
    <w:p w14:paraId="204B60F5" w14:textId="0C207626" w:rsidR="00411241" w:rsidRDefault="00411241" w:rsidP="00411241">
      <w:pPr>
        <w:rPr>
          <w:szCs w:val="20"/>
        </w:rPr>
      </w:pPr>
      <w:r w:rsidRPr="00DB73B5">
        <w:rPr>
          <w:szCs w:val="20"/>
        </w:rPr>
        <w:t>Note 2</w:t>
      </w:r>
      <w:r w:rsidRPr="00774252">
        <w:rPr>
          <w:szCs w:val="20"/>
        </w:rPr>
        <w:t xml:space="preserve">: For individuals of Asian, </w:t>
      </w:r>
      <w:r w:rsidR="003146E7" w:rsidRPr="00774252">
        <w:rPr>
          <w:szCs w:val="20"/>
        </w:rPr>
        <w:t>African,</w:t>
      </w:r>
      <w:r w:rsidRPr="00774252">
        <w:rPr>
          <w:szCs w:val="20"/>
        </w:rPr>
        <w:t xml:space="preserve"> or Mediterranean ancestry, the panel of genes must</w:t>
      </w:r>
      <w:r w:rsidRPr="00774252">
        <w:rPr>
          <w:i/>
          <w:iCs/>
          <w:szCs w:val="20"/>
        </w:rPr>
        <w:t xml:space="preserve"> </w:t>
      </w:r>
      <w:r w:rsidRPr="00774252">
        <w:rPr>
          <w:szCs w:val="20"/>
        </w:rPr>
        <w:t xml:space="preserve">at least include genes relevant to the individual’s risk for Thalassaemia and </w:t>
      </w:r>
      <w:r>
        <w:rPr>
          <w:szCs w:val="20"/>
        </w:rPr>
        <w:t>h</w:t>
      </w:r>
      <w:r w:rsidRPr="00774252">
        <w:rPr>
          <w:szCs w:val="20"/>
        </w:rPr>
        <w:t>aemoglobinopathy. Additional genes may be included in the panel</w:t>
      </w:r>
      <w:r>
        <w:rPr>
          <w:szCs w:val="20"/>
        </w:rPr>
        <w:t xml:space="preserve">, using standardised pathology lists of genes ethnic risk. </w:t>
      </w:r>
    </w:p>
    <w:tbl>
      <w:tblPr>
        <w:tblStyle w:val="TableGrid"/>
        <w:tblW w:w="0" w:type="auto"/>
        <w:tblInd w:w="0" w:type="dxa"/>
        <w:tblLook w:val="04A0" w:firstRow="1" w:lastRow="0" w:firstColumn="1" w:lastColumn="0" w:noHBand="0" w:noVBand="1"/>
      </w:tblPr>
      <w:tblGrid>
        <w:gridCol w:w="9016"/>
      </w:tblGrid>
      <w:tr w:rsidR="00411241" w:rsidRPr="00DE3D6C" w14:paraId="73B79886" w14:textId="77777777" w:rsidTr="00474C71">
        <w:tc>
          <w:tcPr>
            <w:tcW w:w="9016" w:type="dxa"/>
          </w:tcPr>
          <w:p w14:paraId="06D3502E" w14:textId="77777777" w:rsidR="00411241" w:rsidRPr="00DE3D6C" w:rsidRDefault="00411241" w:rsidP="00474C71">
            <w:pPr>
              <w:pStyle w:val="Tabletext"/>
            </w:pPr>
            <w:r w:rsidRPr="00DB11DC">
              <w:t>Category 6 (Pathology Services) – Group P7 Genetics</w:t>
            </w:r>
          </w:p>
        </w:tc>
      </w:tr>
      <w:tr w:rsidR="00411241" w:rsidRPr="00DE3D6C" w14:paraId="5D096C05" w14:textId="77777777" w:rsidTr="00474C71">
        <w:tc>
          <w:tcPr>
            <w:tcW w:w="9016" w:type="dxa"/>
          </w:tcPr>
          <w:p w14:paraId="65634623" w14:textId="77777777" w:rsidR="00411241" w:rsidRDefault="00411241" w:rsidP="00474C71">
            <w:pPr>
              <w:pStyle w:val="Tabletext"/>
            </w:pPr>
            <w:r>
              <w:t>MBS item DDDD</w:t>
            </w:r>
          </w:p>
          <w:p w14:paraId="2C86977D" w14:textId="77777777" w:rsidR="00411241" w:rsidRDefault="00411241" w:rsidP="00474C71">
            <w:pPr>
              <w:pStyle w:val="Tabletext"/>
            </w:pPr>
          </w:p>
          <w:p w14:paraId="426E6A08" w14:textId="77777777" w:rsidR="00411241" w:rsidRDefault="00411241" w:rsidP="00474C71">
            <w:pPr>
              <w:pStyle w:val="Tabletext"/>
            </w:pPr>
            <w:r>
              <w:t>Genetic testing in a first-degree biological relative of a patient found to be a genetic carrier of an autosomal recessive pathogenic or likely pathogenic variant(s) identified by items AAAA or BBBB, requested by or on behalf of a specialist or consultant physician who manages the treatment of the patient.</w:t>
            </w:r>
          </w:p>
          <w:p w14:paraId="20E683A8" w14:textId="77777777" w:rsidR="00411241" w:rsidRDefault="00411241" w:rsidP="00474C71">
            <w:pPr>
              <w:pStyle w:val="Tabletext"/>
            </w:pPr>
          </w:p>
          <w:p w14:paraId="46559A33" w14:textId="77777777" w:rsidR="00411241" w:rsidRPr="00DE3D6C" w:rsidRDefault="00411241" w:rsidP="00474C71">
            <w:pPr>
              <w:pStyle w:val="Tabletext"/>
            </w:pPr>
            <w:r>
              <w:t>One test per lifetime.</w:t>
            </w:r>
          </w:p>
        </w:tc>
      </w:tr>
      <w:tr w:rsidR="00411241" w:rsidRPr="00DE3D6C" w14:paraId="0A612F06" w14:textId="77777777" w:rsidTr="00474C71">
        <w:tc>
          <w:tcPr>
            <w:tcW w:w="9016" w:type="dxa"/>
          </w:tcPr>
          <w:p w14:paraId="4D81DF52" w14:textId="77777777" w:rsidR="00411241" w:rsidRDefault="00411241" w:rsidP="00474C71">
            <w:pPr>
              <w:pStyle w:val="Tabletext"/>
            </w:pPr>
            <w:r>
              <w:t>Fee:  $100</w:t>
            </w:r>
          </w:p>
        </w:tc>
      </w:tr>
    </w:tbl>
    <w:p w14:paraId="4D55B1AD" w14:textId="77777777" w:rsidR="00411241" w:rsidRDefault="00411241" w:rsidP="00411241"/>
    <w:tbl>
      <w:tblPr>
        <w:tblStyle w:val="TableGrid"/>
        <w:tblW w:w="0" w:type="auto"/>
        <w:tblInd w:w="0" w:type="dxa"/>
        <w:tblLook w:val="04A0" w:firstRow="1" w:lastRow="0" w:firstColumn="1" w:lastColumn="0" w:noHBand="0" w:noVBand="1"/>
      </w:tblPr>
      <w:tblGrid>
        <w:gridCol w:w="9016"/>
      </w:tblGrid>
      <w:tr w:rsidR="00411241" w:rsidRPr="00DE3D6C" w14:paraId="4456DB74" w14:textId="77777777" w:rsidTr="00474C71">
        <w:tc>
          <w:tcPr>
            <w:tcW w:w="9016" w:type="dxa"/>
          </w:tcPr>
          <w:p w14:paraId="6B8E1209" w14:textId="77777777" w:rsidR="00411241" w:rsidRPr="00DE3D6C" w:rsidRDefault="00411241" w:rsidP="00474C71">
            <w:pPr>
              <w:pStyle w:val="Tabletext"/>
            </w:pPr>
            <w:r w:rsidRPr="00DB11DC">
              <w:t>Category 6 (Pathology Services) – Group P7 Genetics</w:t>
            </w:r>
          </w:p>
        </w:tc>
      </w:tr>
      <w:tr w:rsidR="00411241" w:rsidRPr="00DE3D6C" w14:paraId="19523E8A" w14:textId="77777777" w:rsidTr="00474C71">
        <w:tc>
          <w:tcPr>
            <w:tcW w:w="9016" w:type="dxa"/>
          </w:tcPr>
          <w:p w14:paraId="532DD877" w14:textId="77777777" w:rsidR="00411241" w:rsidRDefault="00411241" w:rsidP="00474C71">
            <w:pPr>
              <w:pStyle w:val="Tabletext"/>
            </w:pPr>
            <w:r>
              <w:t>MBS item EEEE</w:t>
            </w:r>
          </w:p>
          <w:p w14:paraId="20D63994" w14:textId="77777777" w:rsidR="00411241" w:rsidRDefault="00411241" w:rsidP="00474C71">
            <w:pPr>
              <w:pStyle w:val="Tabletext"/>
            </w:pPr>
          </w:p>
          <w:p w14:paraId="556BAF44" w14:textId="77777777" w:rsidR="00411241" w:rsidRDefault="00411241" w:rsidP="00474C71">
            <w:pPr>
              <w:pStyle w:val="Tabletext"/>
            </w:pPr>
            <w:r>
              <w:t>Reanalysis of genetic test results arising from testing previously performed under Items AAAA, BBBB or CCCC, for the purpose of identifying previously unreported pathogenic or likely pathogenic variants in any genes included in the gene panel to determine genetic carrier status, where the pathogenicity of these variants might not have been known at the time of the previous analysis.</w:t>
            </w:r>
          </w:p>
          <w:p w14:paraId="1F2FAF01" w14:textId="77777777" w:rsidR="00411241" w:rsidRDefault="00411241" w:rsidP="00474C71">
            <w:pPr>
              <w:pStyle w:val="Tabletext"/>
            </w:pPr>
          </w:p>
          <w:p w14:paraId="0359710A" w14:textId="77777777" w:rsidR="00411241" w:rsidRPr="00DE3D6C" w:rsidRDefault="00411241" w:rsidP="00474C71">
            <w:pPr>
              <w:pStyle w:val="Tabletext"/>
            </w:pPr>
            <w:r>
              <w:t>One test per five years.</w:t>
            </w:r>
          </w:p>
        </w:tc>
      </w:tr>
      <w:tr w:rsidR="00411241" w:rsidRPr="00DE3D6C" w14:paraId="45DADF27" w14:textId="77777777" w:rsidTr="00474C71">
        <w:tc>
          <w:tcPr>
            <w:tcW w:w="9016" w:type="dxa"/>
          </w:tcPr>
          <w:p w14:paraId="0335E690" w14:textId="77777777" w:rsidR="00411241" w:rsidRDefault="00411241" w:rsidP="00474C71">
            <w:pPr>
              <w:pStyle w:val="Tabletext"/>
            </w:pPr>
            <w:r>
              <w:t>Fee:  $ 100</w:t>
            </w:r>
          </w:p>
        </w:tc>
      </w:tr>
    </w:tbl>
    <w:p w14:paraId="78AFC7E3" w14:textId="77777777" w:rsidR="00411241" w:rsidRDefault="00411241" w:rsidP="00411241"/>
    <w:tbl>
      <w:tblPr>
        <w:tblStyle w:val="TableGrid"/>
        <w:tblW w:w="0" w:type="auto"/>
        <w:tblInd w:w="0" w:type="dxa"/>
        <w:tblLook w:val="04A0" w:firstRow="1" w:lastRow="0" w:firstColumn="1" w:lastColumn="0" w:noHBand="0" w:noVBand="1"/>
      </w:tblPr>
      <w:tblGrid>
        <w:gridCol w:w="9016"/>
      </w:tblGrid>
      <w:tr w:rsidR="00411241" w:rsidRPr="00DE3D6C" w14:paraId="77ACDA43" w14:textId="77777777" w:rsidTr="00474C71">
        <w:tc>
          <w:tcPr>
            <w:tcW w:w="9016" w:type="dxa"/>
          </w:tcPr>
          <w:p w14:paraId="0A9455D1" w14:textId="77777777" w:rsidR="00411241" w:rsidRPr="00DE3D6C" w:rsidRDefault="00411241" w:rsidP="00474C71">
            <w:pPr>
              <w:pStyle w:val="Tabletext"/>
            </w:pPr>
            <w:r w:rsidRPr="00DB11DC">
              <w:lastRenderedPageBreak/>
              <w:t>Category 6 (Pathology Services) – Group P7 Genetics</w:t>
            </w:r>
          </w:p>
        </w:tc>
      </w:tr>
      <w:tr w:rsidR="00411241" w:rsidRPr="00DE3D6C" w14:paraId="3B4A9F48" w14:textId="77777777" w:rsidTr="00474C71">
        <w:tc>
          <w:tcPr>
            <w:tcW w:w="9016" w:type="dxa"/>
          </w:tcPr>
          <w:p w14:paraId="3D3E240B" w14:textId="77777777" w:rsidR="00411241" w:rsidRDefault="00411241" w:rsidP="00474C71">
            <w:pPr>
              <w:pStyle w:val="Tabletext"/>
            </w:pPr>
            <w:r>
              <w:t>MBS item FFFF</w:t>
            </w:r>
          </w:p>
          <w:p w14:paraId="13F97C76" w14:textId="77777777" w:rsidR="00411241" w:rsidRDefault="00411241" w:rsidP="00474C71">
            <w:pPr>
              <w:pStyle w:val="Tabletext"/>
            </w:pPr>
          </w:p>
          <w:p w14:paraId="652872C3" w14:textId="77777777" w:rsidR="00411241" w:rsidRDefault="00411241" w:rsidP="00474C71">
            <w:pPr>
              <w:pStyle w:val="Tabletext"/>
            </w:pPr>
            <w:r>
              <w:t>Interpretation of genetic carrier test results previously performed on two individuals under items AAAA, DDDD or EEEE, for the purpose of determining the couple’s reproductive risk of this condition. Requested by, or on behalf of, a medical practitioner.</w:t>
            </w:r>
          </w:p>
          <w:p w14:paraId="5BC79002" w14:textId="77777777" w:rsidR="00411241" w:rsidRDefault="00411241" w:rsidP="00474C71">
            <w:pPr>
              <w:pStyle w:val="Tabletext"/>
            </w:pPr>
          </w:p>
          <w:p w14:paraId="11EC8F85" w14:textId="77777777" w:rsidR="00411241" w:rsidRPr="00DE3D6C" w:rsidRDefault="00411241" w:rsidP="00474C71">
            <w:pPr>
              <w:pStyle w:val="Tabletext"/>
            </w:pPr>
            <w:r>
              <w:t>One test per reproductive couple per five years.</w:t>
            </w:r>
          </w:p>
        </w:tc>
      </w:tr>
      <w:tr w:rsidR="00411241" w:rsidRPr="00DE3D6C" w14:paraId="3C3427F4" w14:textId="77777777" w:rsidTr="00474C71">
        <w:tc>
          <w:tcPr>
            <w:tcW w:w="9016" w:type="dxa"/>
          </w:tcPr>
          <w:p w14:paraId="38CD6F50" w14:textId="77777777" w:rsidR="00411241" w:rsidRDefault="00411241" w:rsidP="00474C71">
            <w:pPr>
              <w:pStyle w:val="Tabletext"/>
            </w:pPr>
            <w:r>
              <w:t>Fee:  $ 100</w:t>
            </w:r>
          </w:p>
        </w:tc>
      </w:tr>
    </w:tbl>
    <w:p w14:paraId="7685D60C" w14:textId="77777777" w:rsidR="00411241" w:rsidRPr="00411241" w:rsidRDefault="00411241" w:rsidP="00AE50CC">
      <w:pPr>
        <w:spacing w:after="0"/>
      </w:pPr>
    </w:p>
    <w:p w14:paraId="24FD529D" w14:textId="19E056DA" w:rsidR="00411241" w:rsidRDefault="00411241" w:rsidP="00AE50CC">
      <w:pPr>
        <w:pStyle w:val="Heading3"/>
        <w:spacing w:before="120"/>
      </w:pPr>
      <w:r>
        <w:t>Department’s proposed revisions to the applicant’s item descriptors</w:t>
      </w:r>
    </w:p>
    <w:p w14:paraId="300B984B" w14:textId="6477763C" w:rsidR="00411241" w:rsidRPr="00411241" w:rsidRDefault="00411241" w:rsidP="00152080">
      <w:r>
        <w:t>The Department proposes the below changes for PASC’s consideration, including removing items BBBB (as this is redundant with AAAA) and FFFF</w:t>
      </w:r>
      <w:r w:rsidR="000A323C">
        <w:t xml:space="preserve">, and adding a </w:t>
      </w:r>
      <w:proofErr w:type="spellStart"/>
      <w:r w:rsidR="000A323C">
        <w:t>fetal</w:t>
      </w:r>
      <w:proofErr w:type="spellEnd"/>
      <w:r w:rsidR="000A323C">
        <w:t xml:space="preserve"> testing item</w:t>
      </w:r>
      <w:r w:rsidR="004A46AA">
        <w:t xml:space="preserve"> (GGGG)</w:t>
      </w:r>
      <w:r>
        <w:t>.</w:t>
      </w:r>
    </w:p>
    <w:tbl>
      <w:tblPr>
        <w:tblStyle w:val="TableGrid"/>
        <w:tblW w:w="0" w:type="auto"/>
        <w:tblInd w:w="0" w:type="dxa"/>
        <w:tblLook w:val="04A0" w:firstRow="1" w:lastRow="0" w:firstColumn="1" w:lastColumn="0" w:noHBand="0" w:noVBand="1"/>
      </w:tblPr>
      <w:tblGrid>
        <w:gridCol w:w="9016"/>
      </w:tblGrid>
      <w:tr w:rsidR="00550E81" w:rsidRPr="00DE3D6C" w14:paraId="67F3760D" w14:textId="77777777" w:rsidTr="00024485">
        <w:tc>
          <w:tcPr>
            <w:tcW w:w="9016" w:type="dxa"/>
          </w:tcPr>
          <w:p w14:paraId="1F42FD13" w14:textId="77777777" w:rsidR="00550E81" w:rsidRPr="00DE3D6C" w:rsidRDefault="00550E81" w:rsidP="00024485">
            <w:pPr>
              <w:pStyle w:val="Tabletext"/>
            </w:pPr>
            <w:r w:rsidRPr="00DB11DC">
              <w:t>Category 6 (Pathology Services) – Group P7 Genetics</w:t>
            </w:r>
          </w:p>
        </w:tc>
      </w:tr>
      <w:tr w:rsidR="00550E81" w:rsidRPr="00DE3D6C" w14:paraId="464C602C" w14:textId="77777777" w:rsidTr="00024485">
        <w:tc>
          <w:tcPr>
            <w:tcW w:w="9016" w:type="dxa"/>
          </w:tcPr>
          <w:p w14:paraId="0204BAC0" w14:textId="77777777" w:rsidR="00550E81" w:rsidRDefault="00550E81" w:rsidP="00024485">
            <w:pPr>
              <w:pStyle w:val="Tabletext"/>
            </w:pPr>
            <w:r>
              <w:t>MBS item AAAA</w:t>
            </w:r>
          </w:p>
          <w:p w14:paraId="0A7D0C0E" w14:textId="77777777" w:rsidR="00550E81" w:rsidRDefault="00550E81" w:rsidP="00024485">
            <w:pPr>
              <w:pStyle w:val="Tabletext"/>
            </w:pPr>
          </w:p>
          <w:p w14:paraId="7A442052" w14:textId="7B606ADA" w:rsidR="00550E81" w:rsidRDefault="00550E81" w:rsidP="00024485">
            <w:pPr>
              <w:pStyle w:val="Tabletext"/>
            </w:pPr>
            <w:r w:rsidRPr="0005799A">
              <w:t>Testing of asymptomatic individuals of reproductive age</w:t>
            </w:r>
            <w:r>
              <w:t xml:space="preserve">, </w:t>
            </w:r>
            <w:r w:rsidRPr="0005799A">
              <w:t>for the presence of a pathogenic or likely pathogenic variant(s) in order to ascertain their carrier status, in a panel of genes that must include variants in the cystic fibrosis transmembrane conductance regulator (</w:t>
            </w:r>
            <w:r w:rsidRPr="00C406F7">
              <w:rPr>
                <w:i/>
                <w:iCs/>
              </w:rPr>
              <w:t>CFTR</w:t>
            </w:r>
            <w:r w:rsidRPr="0005799A">
              <w:t>), survival motor neuron 1 (</w:t>
            </w:r>
            <w:r w:rsidRPr="00C406F7">
              <w:rPr>
                <w:i/>
                <w:iCs/>
              </w:rPr>
              <w:t>SMN1</w:t>
            </w:r>
            <w:r w:rsidRPr="0005799A">
              <w:t>), fragile X mental retardation 1 (</w:t>
            </w:r>
            <w:r w:rsidRPr="00C406F7">
              <w:rPr>
                <w:i/>
                <w:iCs/>
              </w:rPr>
              <w:t>FMR1</w:t>
            </w:r>
            <w:r w:rsidRPr="0005799A">
              <w:t xml:space="preserve">) genes in addition to at least </w:t>
            </w:r>
            <w:r w:rsidR="00D16375">
              <w:t>3</w:t>
            </w:r>
            <w:r w:rsidR="00CF3972">
              <w:t xml:space="preserve"> </w:t>
            </w:r>
            <w:r w:rsidRPr="0005799A">
              <w:t>other genes relevant to the ancestry of that individual, requested by or on behalf of a medical practitioner who manages the treatment of the patient.</w:t>
            </w:r>
          </w:p>
          <w:p w14:paraId="2298D335" w14:textId="77777777" w:rsidR="00550E81" w:rsidRPr="0005799A" w:rsidRDefault="00550E81" w:rsidP="00024485">
            <w:pPr>
              <w:pStyle w:val="Tabletext"/>
            </w:pPr>
          </w:p>
          <w:p w14:paraId="5BEB5252" w14:textId="6A9FE892" w:rsidR="00550E81" w:rsidRDefault="00550E81" w:rsidP="00024485">
            <w:pPr>
              <w:pStyle w:val="Tabletext"/>
            </w:pPr>
            <w:r w:rsidRPr="0005799A">
              <w:t>Individuals must have a &gt;10% personal risk of being a genetic carrier of serious clinical disorders associated with pathogenic or likely pathogenic variants of genes in the testing panel.</w:t>
            </w:r>
          </w:p>
          <w:p w14:paraId="6DC20B39" w14:textId="77777777" w:rsidR="00550E81" w:rsidRPr="0005799A" w:rsidRDefault="00550E81" w:rsidP="00024485">
            <w:pPr>
              <w:pStyle w:val="Tabletext"/>
            </w:pPr>
          </w:p>
          <w:p w14:paraId="48357814" w14:textId="222C0E5F" w:rsidR="00550E81" w:rsidRPr="00DE3D6C" w:rsidRDefault="00550E81" w:rsidP="00024485">
            <w:pPr>
              <w:pStyle w:val="Tabletext"/>
            </w:pPr>
            <w:r w:rsidRPr="0005799A">
              <w:t>One test per lifetime.</w:t>
            </w:r>
          </w:p>
        </w:tc>
      </w:tr>
      <w:tr w:rsidR="00550E81" w:rsidRPr="00DE3D6C" w14:paraId="0755CEC9" w14:textId="77777777" w:rsidTr="00024485">
        <w:tc>
          <w:tcPr>
            <w:tcW w:w="9016" w:type="dxa"/>
          </w:tcPr>
          <w:p w14:paraId="7B1247B4" w14:textId="77777777" w:rsidR="00550E81" w:rsidRDefault="00550E81" w:rsidP="00024485">
            <w:pPr>
              <w:pStyle w:val="Tabletext"/>
            </w:pPr>
            <w:r w:rsidRPr="0005799A">
              <w:t>Fee:  $600</w:t>
            </w:r>
          </w:p>
        </w:tc>
      </w:tr>
    </w:tbl>
    <w:p w14:paraId="2DC754EA" w14:textId="59A5A942" w:rsidR="004A46AA" w:rsidRPr="009D4644" w:rsidRDefault="005C0F9D" w:rsidP="00E0238F">
      <w:pPr>
        <w:spacing w:before="240"/>
        <w:rPr>
          <w:i/>
          <w:iCs/>
        </w:rPr>
      </w:pPr>
      <w:r w:rsidRPr="009D4644">
        <w:rPr>
          <w:i/>
          <w:iCs/>
        </w:rPr>
        <w:t>At the post-PASC meeting the applicant agreed this application is to be restricted to the Ashkenazi Jewish population.</w:t>
      </w:r>
      <w:r w:rsidR="00BD033B" w:rsidRPr="009D4644">
        <w:rPr>
          <w:i/>
          <w:iCs/>
        </w:rPr>
        <w:t xml:space="preserve"> Item AAAA will therefore be for the testing of the genes specified in this application for the Ashkenazi Jewish population (plus CFTR, SMN1 and FMR1 in the item descriptor – though not the economic analysis as they are part of the base case comparator).</w:t>
      </w:r>
    </w:p>
    <w:p w14:paraId="7746485A" w14:textId="2E2AC88D" w:rsidR="004A46AA" w:rsidRPr="009D4644" w:rsidRDefault="004A46AA" w:rsidP="004A46AA">
      <w:pPr>
        <w:rPr>
          <w:i/>
          <w:iCs/>
          <w:szCs w:val="20"/>
        </w:rPr>
      </w:pPr>
      <w:r w:rsidRPr="009D4644">
        <w:rPr>
          <w:i/>
          <w:iCs/>
          <w:szCs w:val="20"/>
        </w:rPr>
        <w:t>After the post-PASC meeting, the applicant revised their proposed fee for item AAAA from $600 to $425.</w:t>
      </w:r>
    </w:p>
    <w:p w14:paraId="4E5156D9" w14:textId="11C7844A" w:rsidR="005C0F9D" w:rsidRDefault="00CB075C" w:rsidP="005C0F9D">
      <w:r>
        <w:t>A revised item AAAA descriptor is proposed below.</w:t>
      </w:r>
    </w:p>
    <w:tbl>
      <w:tblPr>
        <w:tblStyle w:val="TableGrid"/>
        <w:tblW w:w="0" w:type="auto"/>
        <w:tblInd w:w="0" w:type="dxa"/>
        <w:tblLook w:val="04A0" w:firstRow="1" w:lastRow="0" w:firstColumn="1" w:lastColumn="0" w:noHBand="0" w:noVBand="1"/>
      </w:tblPr>
      <w:tblGrid>
        <w:gridCol w:w="9016"/>
      </w:tblGrid>
      <w:tr w:rsidR="00CB075C" w14:paraId="00FDD3C1" w14:textId="77777777" w:rsidTr="00CB075C">
        <w:tc>
          <w:tcPr>
            <w:tcW w:w="9016" w:type="dxa"/>
            <w:tcBorders>
              <w:top w:val="single" w:sz="4" w:space="0" w:color="auto"/>
              <w:left w:val="single" w:sz="4" w:space="0" w:color="auto"/>
              <w:bottom w:val="single" w:sz="4" w:space="0" w:color="auto"/>
              <w:right w:val="single" w:sz="4" w:space="0" w:color="auto"/>
            </w:tcBorders>
            <w:hideMark/>
          </w:tcPr>
          <w:p w14:paraId="31756DB0" w14:textId="77777777" w:rsidR="00CB075C" w:rsidRDefault="00CB075C">
            <w:pPr>
              <w:pStyle w:val="Tabletext"/>
              <w:rPr>
                <w:lang w:eastAsia="en-US"/>
              </w:rPr>
            </w:pPr>
            <w:r>
              <w:rPr>
                <w:lang w:eastAsia="en-US"/>
              </w:rPr>
              <w:t>Category 6 (Pathology Services) – Group P7 Genetics</w:t>
            </w:r>
          </w:p>
        </w:tc>
      </w:tr>
      <w:tr w:rsidR="00CB075C" w14:paraId="154F2330" w14:textId="77777777" w:rsidTr="00CB075C">
        <w:tc>
          <w:tcPr>
            <w:tcW w:w="9016" w:type="dxa"/>
            <w:tcBorders>
              <w:top w:val="single" w:sz="4" w:space="0" w:color="auto"/>
              <w:left w:val="single" w:sz="4" w:space="0" w:color="auto"/>
              <w:bottom w:val="single" w:sz="4" w:space="0" w:color="auto"/>
              <w:right w:val="single" w:sz="4" w:space="0" w:color="auto"/>
            </w:tcBorders>
          </w:tcPr>
          <w:p w14:paraId="24B14C49" w14:textId="77777777" w:rsidR="00CB075C" w:rsidRDefault="00CB075C">
            <w:pPr>
              <w:pStyle w:val="Tabletext"/>
              <w:rPr>
                <w:lang w:eastAsia="en-US"/>
              </w:rPr>
            </w:pPr>
            <w:r>
              <w:rPr>
                <w:lang w:eastAsia="en-US"/>
              </w:rPr>
              <w:t>MBS item AAAA</w:t>
            </w:r>
          </w:p>
          <w:p w14:paraId="40C856B3" w14:textId="77777777" w:rsidR="00CB075C" w:rsidRDefault="00CB075C">
            <w:pPr>
              <w:pStyle w:val="Tabletext"/>
              <w:rPr>
                <w:lang w:eastAsia="en-US"/>
              </w:rPr>
            </w:pPr>
          </w:p>
          <w:p w14:paraId="60B2EF9F" w14:textId="488B6787" w:rsidR="00CB075C" w:rsidRDefault="00CB075C">
            <w:pPr>
              <w:pStyle w:val="Tabletext"/>
              <w:rPr>
                <w:lang w:eastAsia="en-US"/>
              </w:rPr>
            </w:pPr>
            <w:r>
              <w:rPr>
                <w:lang w:eastAsia="en-US"/>
              </w:rPr>
              <w:t xml:space="preserve">Testing of asymptomatic individuals of reproductive age, for the presence of pathogenic or likely pathogenic variants </w:t>
            </w:r>
            <w:proofErr w:type="gramStart"/>
            <w:r>
              <w:rPr>
                <w:lang w:eastAsia="en-US"/>
              </w:rPr>
              <w:t>in order to</w:t>
            </w:r>
            <w:proofErr w:type="gramEnd"/>
            <w:r>
              <w:rPr>
                <w:lang w:eastAsia="en-US"/>
              </w:rPr>
              <w:t xml:space="preserve"> ascertain their carrier status, in a panel of genes causing severe monogenic disorders that must include the </w:t>
            </w:r>
            <w:r>
              <w:rPr>
                <w:i/>
                <w:iCs/>
                <w:lang w:eastAsia="en-US"/>
              </w:rPr>
              <w:t>CFTR</w:t>
            </w:r>
            <w:r>
              <w:rPr>
                <w:lang w:eastAsia="en-US"/>
              </w:rPr>
              <w:t xml:space="preserve">, </w:t>
            </w:r>
            <w:r>
              <w:rPr>
                <w:i/>
                <w:iCs/>
                <w:lang w:eastAsia="en-US"/>
              </w:rPr>
              <w:t>SMN1</w:t>
            </w:r>
            <w:r>
              <w:rPr>
                <w:lang w:eastAsia="en-US"/>
              </w:rPr>
              <w:t xml:space="preserve">, </w:t>
            </w:r>
            <w:r>
              <w:rPr>
                <w:i/>
                <w:iCs/>
                <w:lang w:eastAsia="en-US"/>
              </w:rPr>
              <w:t>FMR1, HEXA, ASPA, ELP1, MCOLN1, G6PC1, SLC37A4, FANCA, FANCC, FANCG, GBA, SMPD1,</w:t>
            </w:r>
            <w:r>
              <w:rPr>
                <w:lang w:eastAsia="en-US"/>
              </w:rPr>
              <w:t xml:space="preserve"> and</w:t>
            </w:r>
            <w:r>
              <w:rPr>
                <w:i/>
                <w:iCs/>
                <w:lang w:eastAsia="en-US"/>
              </w:rPr>
              <w:t xml:space="preserve"> BLM</w:t>
            </w:r>
            <w:r w:rsidRPr="00CB075C">
              <w:rPr>
                <w:lang w:eastAsia="en-US"/>
              </w:rPr>
              <w:t xml:space="preserve"> genes, </w:t>
            </w:r>
            <w:r>
              <w:rPr>
                <w:lang w:eastAsia="en-US"/>
              </w:rPr>
              <w:t>requested by or on behalf of a medical practitioner who manages the treatment of the patient.</w:t>
            </w:r>
          </w:p>
          <w:p w14:paraId="4B9FA025" w14:textId="77777777" w:rsidR="00CB075C" w:rsidRDefault="00CB075C">
            <w:pPr>
              <w:pStyle w:val="Tabletext"/>
              <w:rPr>
                <w:lang w:eastAsia="en-US"/>
              </w:rPr>
            </w:pPr>
          </w:p>
          <w:p w14:paraId="46B45BC2" w14:textId="3480681C" w:rsidR="00CB075C" w:rsidRDefault="00CB075C">
            <w:pPr>
              <w:pStyle w:val="Tabletext"/>
              <w:rPr>
                <w:lang w:eastAsia="en-US"/>
              </w:rPr>
            </w:pPr>
            <w:r>
              <w:rPr>
                <w:lang w:eastAsia="en-US"/>
              </w:rPr>
              <w:t xml:space="preserve">Individuals must have a &gt;10% personal risk of being a genetic carrier of any of the clinical disorders </w:t>
            </w:r>
            <w:r w:rsidR="0035362A">
              <w:rPr>
                <w:lang w:eastAsia="en-US"/>
              </w:rPr>
              <w:t>associated with pathogenic or likely pathogenic variants of genes in the testing panel</w:t>
            </w:r>
            <w:r>
              <w:rPr>
                <w:lang w:eastAsia="en-US"/>
              </w:rPr>
              <w:t xml:space="preserve">, namely Cystic Fibrosis, Spinal Muscular Atrophy, Fragile X Syndrome, Tay Sachs Disease, Canavan disease, Familial dysautonomia, </w:t>
            </w:r>
            <w:proofErr w:type="spellStart"/>
            <w:r>
              <w:rPr>
                <w:lang w:eastAsia="en-US"/>
              </w:rPr>
              <w:t>Mucolipidosis</w:t>
            </w:r>
            <w:proofErr w:type="spellEnd"/>
            <w:r>
              <w:rPr>
                <w:lang w:eastAsia="en-US"/>
              </w:rPr>
              <w:t xml:space="preserve"> Type IV, Glycogen storage disease type 1, Fanconi anaemia type C, Gaucher disease, Niemann Pick Disease type A, and Bloom Syndrome</w:t>
            </w:r>
            <w:r w:rsidR="0035362A">
              <w:rPr>
                <w:lang w:eastAsia="en-US"/>
              </w:rPr>
              <w:t>.</w:t>
            </w:r>
          </w:p>
          <w:p w14:paraId="1030F3FA" w14:textId="77777777" w:rsidR="00CB075C" w:rsidRDefault="00CB075C">
            <w:pPr>
              <w:pStyle w:val="Tabletext"/>
              <w:rPr>
                <w:lang w:eastAsia="en-US"/>
              </w:rPr>
            </w:pPr>
          </w:p>
          <w:p w14:paraId="410C70C6" w14:textId="77777777" w:rsidR="00CB075C" w:rsidRDefault="00CB075C">
            <w:pPr>
              <w:pStyle w:val="Tabletext"/>
              <w:rPr>
                <w:lang w:eastAsia="en-US"/>
              </w:rPr>
            </w:pPr>
            <w:r>
              <w:rPr>
                <w:lang w:eastAsia="en-US"/>
              </w:rPr>
              <w:t>One test per lifetime.</w:t>
            </w:r>
          </w:p>
        </w:tc>
      </w:tr>
      <w:tr w:rsidR="00CB075C" w14:paraId="2E7CA0AB" w14:textId="77777777" w:rsidTr="00CB075C">
        <w:tc>
          <w:tcPr>
            <w:tcW w:w="9016" w:type="dxa"/>
            <w:tcBorders>
              <w:top w:val="single" w:sz="4" w:space="0" w:color="auto"/>
              <w:left w:val="single" w:sz="4" w:space="0" w:color="auto"/>
              <w:bottom w:val="single" w:sz="4" w:space="0" w:color="auto"/>
              <w:right w:val="single" w:sz="4" w:space="0" w:color="auto"/>
            </w:tcBorders>
            <w:hideMark/>
          </w:tcPr>
          <w:p w14:paraId="1805B850" w14:textId="6B98D206" w:rsidR="00CB075C" w:rsidRDefault="00CB075C">
            <w:pPr>
              <w:pStyle w:val="Tabletext"/>
              <w:rPr>
                <w:lang w:eastAsia="en-US"/>
              </w:rPr>
            </w:pPr>
            <w:r>
              <w:rPr>
                <w:lang w:eastAsia="en-US"/>
              </w:rPr>
              <w:t xml:space="preserve">Fee:  </w:t>
            </w:r>
            <w:r w:rsidRPr="001C3AA1">
              <w:rPr>
                <w:lang w:eastAsia="en-US"/>
              </w:rPr>
              <w:t>$</w:t>
            </w:r>
            <w:r w:rsidR="004A46AA">
              <w:rPr>
                <w:lang w:eastAsia="en-US"/>
              </w:rPr>
              <w:t>425</w:t>
            </w:r>
          </w:p>
        </w:tc>
      </w:tr>
    </w:tbl>
    <w:p w14:paraId="649389C2" w14:textId="7190F524" w:rsidR="005C0F9D" w:rsidRDefault="005C0F9D" w:rsidP="00550E81">
      <w:pPr>
        <w:pStyle w:val="Tabletext"/>
      </w:pPr>
    </w:p>
    <w:p w14:paraId="6119556B" w14:textId="77777777" w:rsidR="0005689B" w:rsidRDefault="0005689B" w:rsidP="00550E81">
      <w:pPr>
        <w:pStyle w:val="Tabletext"/>
      </w:pPr>
    </w:p>
    <w:tbl>
      <w:tblPr>
        <w:tblStyle w:val="TableGrid"/>
        <w:tblW w:w="0" w:type="auto"/>
        <w:tblInd w:w="0" w:type="dxa"/>
        <w:tblLook w:val="04A0" w:firstRow="1" w:lastRow="0" w:firstColumn="1" w:lastColumn="0" w:noHBand="0" w:noVBand="1"/>
      </w:tblPr>
      <w:tblGrid>
        <w:gridCol w:w="9016"/>
      </w:tblGrid>
      <w:tr w:rsidR="00550E81" w:rsidRPr="00DE3D6C" w14:paraId="46FBEE90" w14:textId="77777777" w:rsidTr="00024485">
        <w:tc>
          <w:tcPr>
            <w:tcW w:w="9016" w:type="dxa"/>
          </w:tcPr>
          <w:p w14:paraId="3FF2217F" w14:textId="77777777" w:rsidR="00550E81" w:rsidRPr="00DE3D6C" w:rsidRDefault="00550E81" w:rsidP="00024485">
            <w:pPr>
              <w:pStyle w:val="Tabletext"/>
            </w:pPr>
            <w:r w:rsidRPr="00DB11DC">
              <w:t>Category 6 (Pathology Services) – Group P7 Genetics</w:t>
            </w:r>
          </w:p>
        </w:tc>
      </w:tr>
      <w:tr w:rsidR="00550E81" w:rsidRPr="00DE3D6C" w14:paraId="50550EC9" w14:textId="77777777" w:rsidTr="00024485">
        <w:tc>
          <w:tcPr>
            <w:tcW w:w="9016" w:type="dxa"/>
          </w:tcPr>
          <w:p w14:paraId="49FBD398" w14:textId="0F302982" w:rsidR="00550E81" w:rsidRDefault="00550E81" w:rsidP="00024485">
            <w:pPr>
              <w:pStyle w:val="Tabletext"/>
            </w:pPr>
            <w:r>
              <w:t>MBS item CCCC</w:t>
            </w:r>
          </w:p>
          <w:p w14:paraId="5CF13A6B" w14:textId="77777777" w:rsidR="00550E81" w:rsidRDefault="00550E81" w:rsidP="00024485">
            <w:pPr>
              <w:pStyle w:val="Tabletext"/>
            </w:pPr>
          </w:p>
          <w:p w14:paraId="2D5B10A9" w14:textId="0AE26918" w:rsidR="00550E81" w:rsidRDefault="003146E7" w:rsidP="00024485">
            <w:pPr>
              <w:pStyle w:val="Tabletext"/>
            </w:pPr>
            <w:r>
              <w:t>Genetic</w:t>
            </w:r>
            <w:r w:rsidR="00550E81">
              <w:t xml:space="preserve"> testing, regardless of pre-test </w:t>
            </w:r>
            <w:r w:rsidR="00484243">
              <w:t xml:space="preserve">personal </w:t>
            </w:r>
            <w:r w:rsidR="00550E81">
              <w:t xml:space="preserve">risk, of </w:t>
            </w:r>
            <w:r>
              <w:t>the reproductive</w:t>
            </w:r>
            <w:r w:rsidR="00550E81">
              <w:t xml:space="preserve"> partner of </w:t>
            </w:r>
            <w:r w:rsidR="00B22205">
              <w:t>an</w:t>
            </w:r>
            <w:r w:rsidR="00550E81">
              <w:t xml:space="preserve"> </w:t>
            </w:r>
            <w:r w:rsidR="00BE11A7">
              <w:t>individual</w:t>
            </w:r>
            <w:r w:rsidR="00550E81">
              <w:t xml:space="preserve"> who has a &gt;10% personal risk of being a heterozygous genetic carrier of serious clinical disorders associated with pathogenic or likely pathogenic variants of genes as described in </w:t>
            </w:r>
            <w:r w:rsidR="00BE11A7">
              <w:t>AAAA</w:t>
            </w:r>
            <w:r w:rsidR="00550E81">
              <w:t>, for the purpose of determining the couple’s reproductive risk of this condition. Requested by or on behalf of a specialist or consultant physician who manages the treatment of the patient</w:t>
            </w:r>
          </w:p>
          <w:p w14:paraId="199AEB8E" w14:textId="77777777" w:rsidR="00550E81" w:rsidRDefault="00550E81" w:rsidP="00024485">
            <w:pPr>
              <w:pStyle w:val="Tabletext"/>
            </w:pPr>
          </w:p>
          <w:p w14:paraId="674B56FD" w14:textId="2A46821F" w:rsidR="00550E81" w:rsidRPr="00DE3D6C" w:rsidRDefault="00550E81" w:rsidP="00D16375">
            <w:pPr>
              <w:pStyle w:val="Tabletext"/>
            </w:pPr>
            <w:r>
              <w:t xml:space="preserve">One test </w:t>
            </w:r>
            <w:r w:rsidR="00267810">
              <w:t xml:space="preserve">per </w:t>
            </w:r>
            <w:r w:rsidR="00D16375">
              <w:t>couple</w:t>
            </w:r>
            <w:r w:rsidR="00267810">
              <w:t xml:space="preserve"> </w:t>
            </w:r>
            <w:r>
              <w:t>per lifetime.</w:t>
            </w:r>
          </w:p>
        </w:tc>
      </w:tr>
      <w:tr w:rsidR="00550E81" w:rsidRPr="00DE3D6C" w14:paraId="2CF9A59A" w14:textId="77777777" w:rsidTr="00024485">
        <w:tc>
          <w:tcPr>
            <w:tcW w:w="9016" w:type="dxa"/>
          </w:tcPr>
          <w:p w14:paraId="6A251DEB" w14:textId="3FEF2A30" w:rsidR="00550E81" w:rsidRDefault="00550E81" w:rsidP="00024485">
            <w:pPr>
              <w:pStyle w:val="Tabletext"/>
            </w:pPr>
            <w:r>
              <w:t>Fee:  $600</w:t>
            </w:r>
          </w:p>
        </w:tc>
      </w:tr>
    </w:tbl>
    <w:p w14:paraId="63874AF6" w14:textId="06F72ABE" w:rsidR="00152080" w:rsidRPr="00774252" w:rsidRDefault="006C4DF5" w:rsidP="00C406F7">
      <w:pPr>
        <w:spacing w:before="240"/>
        <w:rPr>
          <w:szCs w:val="20"/>
        </w:rPr>
      </w:pPr>
      <w:r>
        <w:t>Practice N</w:t>
      </w:r>
      <w:r w:rsidR="00550E81" w:rsidRPr="00DB73B5">
        <w:t>ote 1</w:t>
      </w:r>
      <w:r w:rsidR="00550E81" w:rsidRPr="00774252">
        <w:t xml:space="preserve">: For individuals of Ashkenazi Jewish ancestry, the panel </w:t>
      </w:r>
      <w:r w:rsidR="00550E81" w:rsidRPr="00774252">
        <w:rPr>
          <w:i/>
          <w:iCs/>
        </w:rPr>
        <w:t>must also</w:t>
      </w:r>
      <w:r w:rsidR="00550E81" w:rsidRPr="00774252">
        <w:t xml:space="preserve"> include </w:t>
      </w:r>
      <w:r w:rsidR="00550E81" w:rsidRPr="00774252">
        <w:rPr>
          <w:i/>
          <w:iCs/>
          <w:szCs w:val="20"/>
        </w:rPr>
        <w:t>HEXA</w:t>
      </w:r>
      <w:r w:rsidR="000A323C">
        <w:rPr>
          <w:i/>
          <w:iCs/>
          <w:szCs w:val="20"/>
        </w:rPr>
        <w:t>,</w:t>
      </w:r>
      <w:r w:rsidR="00550E81" w:rsidRPr="00774252">
        <w:rPr>
          <w:szCs w:val="20"/>
        </w:rPr>
        <w:t xml:space="preserve"> </w:t>
      </w:r>
      <w:r w:rsidR="00FC7F18">
        <w:rPr>
          <w:i/>
          <w:iCs/>
          <w:szCs w:val="20"/>
        </w:rPr>
        <w:t>ELP1</w:t>
      </w:r>
      <w:r w:rsidR="00550E81" w:rsidRPr="00774252">
        <w:rPr>
          <w:i/>
          <w:iCs/>
          <w:szCs w:val="20"/>
        </w:rPr>
        <w:t xml:space="preserve">, SMPD1, ASPA, FANCC, </w:t>
      </w:r>
      <w:r w:rsidR="00FC7F18">
        <w:rPr>
          <w:i/>
          <w:iCs/>
          <w:szCs w:val="20"/>
        </w:rPr>
        <w:t>BLM</w:t>
      </w:r>
      <w:r w:rsidR="00550E81" w:rsidRPr="00774252">
        <w:rPr>
          <w:i/>
          <w:iCs/>
          <w:szCs w:val="20"/>
        </w:rPr>
        <w:t xml:space="preserve"> </w:t>
      </w:r>
      <w:r w:rsidR="00550E81" w:rsidRPr="00774252">
        <w:rPr>
          <w:szCs w:val="20"/>
        </w:rPr>
        <w:t xml:space="preserve">and </w:t>
      </w:r>
      <w:r w:rsidR="00550E81" w:rsidRPr="00774252">
        <w:rPr>
          <w:i/>
          <w:iCs/>
          <w:szCs w:val="20"/>
        </w:rPr>
        <w:t>MCOLN1</w:t>
      </w:r>
      <w:r w:rsidR="00550E81" w:rsidRPr="00774252">
        <w:rPr>
          <w:szCs w:val="20"/>
        </w:rPr>
        <w:t xml:space="preserve">. </w:t>
      </w:r>
      <w:r>
        <w:rPr>
          <w:szCs w:val="20"/>
        </w:rPr>
        <w:t xml:space="preserve">For individuals of </w:t>
      </w:r>
      <w:r w:rsidRPr="00774252">
        <w:rPr>
          <w:szCs w:val="20"/>
        </w:rPr>
        <w:t xml:space="preserve">Asian, </w:t>
      </w:r>
      <w:r w:rsidR="003146E7" w:rsidRPr="00774252">
        <w:rPr>
          <w:szCs w:val="20"/>
        </w:rPr>
        <w:t>African,</w:t>
      </w:r>
      <w:r w:rsidRPr="00774252">
        <w:rPr>
          <w:szCs w:val="20"/>
        </w:rPr>
        <w:t xml:space="preserve"> or Mediterranean ancestry, the panel must</w:t>
      </w:r>
      <w:r w:rsidRPr="00774252">
        <w:rPr>
          <w:i/>
          <w:iCs/>
          <w:szCs w:val="20"/>
        </w:rPr>
        <w:t xml:space="preserve"> </w:t>
      </w:r>
      <w:r w:rsidR="0062669B">
        <w:rPr>
          <w:szCs w:val="20"/>
        </w:rPr>
        <w:t>also</w:t>
      </w:r>
      <w:r w:rsidRPr="00774252">
        <w:rPr>
          <w:szCs w:val="20"/>
        </w:rPr>
        <w:t xml:space="preserve"> include genes relevant to the individual’s risk </w:t>
      </w:r>
      <w:proofErr w:type="gramStart"/>
      <w:r>
        <w:rPr>
          <w:szCs w:val="20"/>
        </w:rPr>
        <w:t>e.g.</w:t>
      </w:r>
      <w:proofErr w:type="gramEnd"/>
      <w:r>
        <w:rPr>
          <w:szCs w:val="20"/>
        </w:rPr>
        <w:t xml:space="preserve"> </w:t>
      </w:r>
      <w:r w:rsidRPr="00774252">
        <w:rPr>
          <w:szCs w:val="20"/>
        </w:rPr>
        <w:t xml:space="preserve">for </w:t>
      </w:r>
      <w:r>
        <w:rPr>
          <w:szCs w:val="20"/>
        </w:rPr>
        <w:t>t</w:t>
      </w:r>
      <w:r w:rsidRPr="00774252">
        <w:rPr>
          <w:szCs w:val="20"/>
        </w:rPr>
        <w:t>halassaemia</w:t>
      </w:r>
      <w:r>
        <w:rPr>
          <w:szCs w:val="20"/>
        </w:rPr>
        <w:t xml:space="preserve"> or sickle cell disease</w:t>
      </w:r>
      <w:r w:rsidRPr="00774252">
        <w:rPr>
          <w:szCs w:val="20"/>
        </w:rPr>
        <w:t xml:space="preserve">. </w:t>
      </w:r>
      <w:r w:rsidR="00550E81" w:rsidRPr="00774252">
        <w:rPr>
          <w:szCs w:val="20"/>
        </w:rPr>
        <w:t xml:space="preserve">Additional genes </w:t>
      </w:r>
      <w:r w:rsidR="00550E81" w:rsidRPr="00267810">
        <w:rPr>
          <w:szCs w:val="20"/>
        </w:rPr>
        <w:t>may also</w:t>
      </w:r>
      <w:r w:rsidR="00550E81" w:rsidRPr="00774252">
        <w:rPr>
          <w:szCs w:val="20"/>
        </w:rPr>
        <w:t xml:space="preserve"> be included in the panel</w:t>
      </w:r>
      <w:r w:rsidR="00550E81">
        <w:rPr>
          <w:szCs w:val="20"/>
        </w:rPr>
        <w:t xml:space="preserve"> using standardised pathology lists of genes</w:t>
      </w:r>
      <w:r w:rsidR="00267810">
        <w:rPr>
          <w:szCs w:val="20"/>
        </w:rPr>
        <w:t xml:space="preserve"> according to</w:t>
      </w:r>
      <w:r w:rsidR="00550E81">
        <w:rPr>
          <w:szCs w:val="20"/>
        </w:rPr>
        <w:t xml:space="preserve"> ethnic </w:t>
      </w:r>
      <w:r>
        <w:rPr>
          <w:szCs w:val="20"/>
        </w:rPr>
        <w:t>risk</w:t>
      </w:r>
      <w:r w:rsidR="00550E81">
        <w:rPr>
          <w:szCs w:val="20"/>
        </w:rPr>
        <w:t>.</w:t>
      </w:r>
      <w:r w:rsidR="00152080">
        <w:rPr>
          <w:szCs w:val="20"/>
        </w:rPr>
        <w:t xml:space="preserve"> The reference source for these gene lists will be provided by the applicant.</w:t>
      </w:r>
    </w:p>
    <w:p w14:paraId="2F6B86E4" w14:textId="435B3DDD" w:rsidR="00BD033B" w:rsidRPr="009D4644" w:rsidRDefault="00BD033B" w:rsidP="00550E81">
      <w:pPr>
        <w:rPr>
          <w:i/>
          <w:iCs/>
          <w:szCs w:val="20"/>
        </w:rPr>
      </w:pPr>
      <w:r w:rsidRPr="009D4644">
        <w:rPr>
          <w:i/>
          <w:iCs/>
        </w:rPr>
        <w:t xml:space="preserve">At the post-PASC meeting the applicant agreed this application is to be restricted to the Ashkenazi Jewish population. The practice notes for item CCCC therefore no longer need to include other potentially </w:t>
      </w:r>
      <w:proofErr w:type="gramStart"/>
      <w:r w:rsidRPr="009D4644">
        <w:rPr>
          <w:i/>
          <w:iCs/>
        </w:rPr>
        <w:t>high risk</w:t>
      </w:r>
      <w:proofErr w:type="gramEnd"/>
      <w:r w:rsidRPr="009D4644">
        <w:rPr>
          <w:i/>
          <w:iCs/>
        </w:rPr>
        <w:t xml:space="preserve"> ethnicities.</w:t>
      </w:r>
    </w:p>
    <w:p w14:paraId="5F198651" w14:textId="09F0ED00" w:rsidR="00F5698D" w:rsidRDefault="006C4DF5" w:rsidP="00550E81">
      <w:pPr>
        <w:rPr>
          <w:szCs w:val="20"/>
        </w:rPr>
      </w:pPr>
      <w:r>
        <w:rPr>
          <w:szCs w:val="20"/>
        </w:rPr>
        <w:t>Practice Note 2: where the couple is already pregnant, concurrent testing of any partner(s) not already tested is recommended.</w:t>
      </w:r>
    </w:p>
    <w:p w14:paraId="460E1B03" w14:textId="2EDB4A47" w:rsidR="00583418" w:rsidRPr="00F522A3" w:rsidRDefault="00583418" w:rsidP="00583418">
      <w:pPr>
        <w:rPr>
          <w:rFonts w:eastAsia="MS Gothic"/>
          <w:b/>
          <w:bCs/>
          <w:i/>
          <w:sz w:val="24"/>
          <w:szCs w:val="24"/>
        </w:rPr>
      </w:pPr>
      <w:r w:rsidRPr="00467098">
        <w:rPr>
          <w:i/>
        </w:rPr>
        <w:t xml:space="preserve">At the post-PASC meeting, the Department noted that MSAC has recently supported reproductive partner gene sequencing items for $1200. If this is indeed the fee, this has implications for the choice of test in reproductive partners of couples who undergo a two-step approach to reproductive carrier testing. The applicant stated it would likely cost less than $600 to sequence one gene from this </w:t>
      </w:r>
      <w:r w:rsidR="00697BE3" w:rsidRPr="00467098">
        <w:rPr>
          <w:i/>
        </w:rPr>
        <w:t>panel and</w:t>
      </w:r>
      <w:r w:rsidRPr="00467098">
        <w:rPr>
          <w:i/>
        </w:rPr>
        <w:t xml:space="preserve"> committed to confirm its proposed fees</w:t>
      </w:r>
      <w:r w:rsidRPr="00BD033B">
        <w:rPr>
          <w:iCs/>
        </w:rPr>
        <w:t>.</w:t>
      </w:r>
    </w:p>
    <w:p w14:paraId="5BB29F79" w14:textId="7376F615" w:rsidR="00FA58C2" w:rsidRDefault="0005689B" w:rsidP="00FA58C2">
      <w:pPr>
        <w:spacing w:before="240"/>
      </w:pPr>
      <w:r w:rsidRPr="009D4644">
        <w:rPr>
          <w:i/>
          <w:iCs/>
          <w:szCs w:val="20"/>
        </w:rPr>
        <w:t xml:space="preserve">After the post-PASC meeting the applicant proposed </w:t>
      </w:r>
      <w:r w:rsidR="001C3AA1" w:rsidRPr="009D4644">
        <w:rPr>
          <w:i/>
          <w:iCs/>
          <w:szCs w:val="20"/>
        </w:rPr>
        <w:t xml:space="preserve">that </w:t>
      </w:r>
      <w:r w:rsidRPr="009D4644">
        <w:rPr>
          <w:i/>
          <w:iCs/>
          <w:szCs w:val="20"/>
        </w:rPr>
        <w:t>reproductive partners be tested for only the same variants as are included in the panel test to be used for AAAA, at the same cost as AAAA</w:t>
      </w:r>
      <w:r w:rsidR="001C3AA1" w:rsidRPr="009D4644">
        <w:rPr>
          <w:i/>
          <w:iCs/>
          <w:szCs w:val="20"/>
        </w:rPr>
        <w:t xml:space="preserve"> ($425)</w:t>
      </w:r>
      <w:r w:rsidR="00BC0350" w:rsidRPr="009D4644">
        <w:rPr>
          <w:i/>
          <w:iCs/>
          <w:szCs w:val="20"/>
        </w:rPr>
        <w:t>, rather than gene sequencing (for which a proposed fee was not provided)</w:t>
      </w:r>
      <w:r w:rsidRPr="009D4644">
        <w:rPr>
          <w:i/>
          <w:iCs/>
          <w:szCs w:val="20"/>
        </w:rPr>
        <w:t xml:space="preserve">. However, an expert consulted by PASC advised that since reproductive partners </w:t>
      </w:r>
      <w:r w:rsidR="00BC0350" w:rsidRPr="009D4644">
        <w:rPr>
          <w:i/>
          <w:iCs/>
          <w:szCs w:val="20"/>
        </w:rPr>
        <w:t xml:space="preserve">who are themselves </w:t>
      </w:r>
      <w:r w:rsidRPr="009D4644">
        <w:rPr>
          <w:i/>
          <w:iCs/>
          <w:szCs w:val="20"/>
        </w:rPr>
        <w:t xml:space="preserve">of Ashkenazi Jewish ethnicity will meet the personal risk </w:t>
      </w:r>
      <w:r w:rsidR="001C3AA1" w:rsidRPr="009D4644">
        <w:rPr>
          <w:i/>
          <w:iCs/>
          <w:szCs w:val="20"/>
        </w:rPr>
        <w:t xml:space="preserve">eligibility </w:t>
      </w:r>
      <w:r w:rsidRPr="009D4644">
        <w:rPr>
          <w:i/>
          <w:iCs/>
          <w:szCs w:val="20"/>
        </w:rPr>
        <w:t xml:space="preserve">criterion for the panel </w:t>
      </w:r>
      <w:proofErr w:type="gramStart"/>
      <w:r w:rsidRPr="009D4644">
        <w:rPr>
          <w:i/>
          <w:iCs/>
          <w:szCs w:val="20"/>
        </w:rPr>
        <w:t>test in their own right, the</w:t>
      </w:r>
      <w:proofErr w:type="gramEnd"/>
      <w:r w:rsidRPr="009D4644">
        <w:rPr>
          <w:i/>
          <w:iCs/>
          <w:szCs w:val="20"/>
        </w:rPr>
        <w:t xml:space="preserve"> reproductive partner testing item will be used only by those partners not within the population eligible for the panel test, such as the non-Ashkenazi Jewish </w:t>
      </w:r>
      <w:r w:rsidR="001C3AA1" w:rsidRPr="009D4644">
        <w:rPr>
          <w:i/>
          <w:iCs/>
          <w:szCs w:val="20"/>
        </w:rPr>
        <w:t xml:space="preserve">reproductive </w:t>
      </w:r>
      <w:r w:rsidRPr="009D4644">
        <w:rPr>
          <w:i/>
          <w:iCs/>
          <w:szCs w:val="20"/>
        </w:rPr>
        <w:t xml:space="preserve">partners of Ashkenazi Jewish individuals. The expert therefore considered that the specific variants that are </w:t>
      </w:r>
      <w:r w:rsidR="001C3AA1" w:rsidRPr="009D4644">
        <w:rPr>
          <w:i/>
          <w:iCs/>
          <w:szCs w:val="20"/>
        </w:rPr>
        <w:t xml:space="preserve">included </w:t>
      </w:r>
      <w:r w:rsidRPr="009D4644">
        <w:rPr>
          <w:i/>
          <w:iCs/>
          <w:szCs w:val="20"/>
        </w:rPr>
        <w:t xml:space="preserve">on the panel </w:t>
      </w:r>
      <w:r w:rsidR="001C3AA1" w:rsidRPr="009D4644">
        <w:rPr>
          <w:i/>
          <w:iCs/>
          <w:szCs w:val="20"/>
        </w:rPr>
        <w:t xml:space="preserve">test </w:t>
      </w:r>
      <w:r w:rsidRPr="009D4644">
        <w:rPr>
          <w:i/>
          <w:iCs/>
          <w:szCs w:val="20"/>
        </w:rPr>
        <w:t xml:space="preserve">based on their known increased prevalence within the </w:t>
      </w:r>
      <w:r w:rsidR="00697BE3" w:rsidRPr="009D4644">
        <w:rPr>
          <w:i/>
          <w:iCs/>
          <w:szCs w:val="20"/>
        </w:rPr>
        <w:t>Ashkenazi</w:t>
      </w:r>
      <w:r w:rsidRPr="009D4644">
        <w:rPr>
          <w:i/>
          <w:iCs/>
          <w:szCs w:val="20"/>
        </w:rPr>
        <w:t xml:space="preserve"> Jewish population are not relevant to the partner population, and </w:t>
      </w:r>
      <w:r w:rsidR="001C3AA1" w:rsidRPr="009D4644">
        <w:rPr>
          <w:i/>
          <w:iCs/>
          <w:szCs w:val="20"/>
        </w:rPr>
        <w:t xml:space="preserve">that reproductive partner testing will require gene sequencing to capture all variants within the gene(s) in question. The expert noted that there may be more than one gene for which the reproductive partner should be tested, given carrier frequencies within the Ashkenazi Jewish population. The expert advised that next generation sequencing (NGS) methods would be chosen by most laboratories (and increasingly so into the future), and that a reasonable fee to sequence and interrogate as many genes on the panel as are required for that partner using NGS methods would be $1200. </w:t>
      </w:r>
      <w:r w:rsidR="00FA58C2" w:rsidRPr="009D4644">
        <w:rPr>
          <w:i/>
          <w:iCs/>
        </w:rPr>
        <w:t xml:space="preserve">The applicant responded that it disagreed partner testing should use gene sequencing, and that the cost of testing for panel variants in one or more genes in partners </w:t>
      </w:r>
      <w:r w:rsidR="005C48A3" w:rsidRPr="009D4644">
        <w:rPr>
          <w:i/>
          <w:iCs/>
        </w:rPr>
        <w:t>sh</w:t>
      </w:r>
      <w:r w:rsidR="00FA58C2" w:rsidRPr="009D4644">
        <w:rPr>
          <w:i/>
          <w:iCs/>
        </w:rPr>
        <w:t>ould be the same as the cost of the panel test (revised to $425). The Department proposes to PASC that the applicant’s proposal for the partner test method and fee be accommodated as a sensitivity analysis in the assessment report</w:t>
      </w:r>
      <w:r w:rsidR="00FA58C2">
        <w:t>.</w:t>
      </w:r>
    </w:p>
    <w:p w14:paraId="0BFA303E" w14:textId="4FD6E178" w:rsidR="004A46AA" w:rsidRPr="00FA58C2" w:rsidRDefault="00FA58C2" w:rsidP="00FA58C2">
      <w:pPr>
        <w:spacing w:before="240"/>
      </w:pPr>
      <w:r>
        <w:lastRenderedPageBreak/>
        <w:t xml:space="preserve">The applicant also proposed that a gene sequencing partner test could also be used by partners who were Ashkenazi Jewish and ‘wished to have the best possible reassurance’. The Department suggests it would be more appropriate for partners who are Ashkenazi Jewish to receive the panel test than gene sequencing (or both a panel </w:t>
      </w:r>
      <w:r w:rsidR="005C48A3">
        <w:t xml:space="preserve">test </w:t>
      </w:r>
      <w:r>
        <w:t>and a gene sequencing partner test), and so revised the proposed wording of CCCC to exclude partners who have received a panel test under AAAA.</w:t>
      </w:r>
    </w:p>
    <w:p w14:paraId="01F9B9F7" w14:textId="0C4A4666" w:rsidR="001C3AA1" w:rsidRDefault="004A46AA" w:rsidP="00550E81">
      <w:pPr>
        <w:rPr>
          <w:szCs w:val="20"/>
        </w:rPr>
      </w:pPr>
      <w:r>
        <w:rPr>
          <w:szCs w:val="20"/>
        </w:rPr>
        <w:t>A revised item CCCC descriptor is proposed below, incorporating the specification that the test interrogate all variants within the relevant gene(s) and the corresponding appropriate fee</w:t>
      </w:r>
      <w:r w:rsidR="00FA58C2">
        <w:rPr>
          <w:szCs w:val="20"/>
        </w:rPr>
        <w:t xml:space="preserve"> for gene sequencing, as well as the restriction that partners must not previously have received the panel test</w:t>
      </w:r>
      <w:r>
        <w:rPr>
          <w:szCs w:val="20"/>
        </w:rPr>
        <w:t>.</w:t>
      </w:r>
    </w:p>
    <w:tbl>
      <w:tblPr>
        <w:tblStyle w:val="TableGrid"/>
        <w:tblW w:w="0" w:type="auto"/>
        <w:tblInd w:w="0" w:type="dxa"/>
        <w:tblLook w:val="04A0" w:firstRow="1" w:lastRow="0" w:firstColumn="1" w:lastColumn="0" w:noHBand="0" w:noVBand="1"/>
      </w:tblPr>
      <w:tblGrid>
        <w:gridCol w:w="9016"/>
      </w:tblGrid>
      <w:tr w:rsidR="004A46AA" w:rsidRPr="00DE3D6C" w14:paraId="3EE4C3D8" w14:textId="77777777" w:rsidTr="004A46AA">
        <w:tc>
          <w:tcPr>
            <w:tcW w:w="9016" w:type="dxa"/>
          </w:tcPr>
          <w:p w14:paraId="6058849F" w14:textId="77777777" w:rsidR="004A46AA" w:rsidRPr="00DE3D6C" w:rsidRDefault="004A46AA" w:rsidP="004A46AA">
            <w:pPr>
              <w:pStyle w:val="Tabletext"/>
            </w:pPr>
            <w:bookmarkStart w:id="30" w:name="_Hlk86045186"/>
            <w:r w:rsidRPr="00DB11DC">
              <w:t>Category 6 (Pathology Services) – Group P7 Genetics</w:t>
            </w:r>
          </w:p>
        </w:tc>
      </w:tr>
      <w:tr w:rsidR="004A46AA" w:rsidRPr="00DE3D6C" w14:paraId="66CA40A1" w14:textId="77777777" w:rsidTr="004A46AA">
        <w:tc>
          <w:tcPr>
            <w:tcW w:w="9016" w:type="dxa"/>
          </w:tcPr>
          <w:p w14:paraId="693A0783" w14:textId="77777777" w:rsidR="004A46AA" w:rsidRDefault="004A46AA" w:rsidP="004A46AA">
            <w:pPr>
              <w:pStyle w:val="Tabletext"/>
            </w:pPr>
            <w:r>
              <w:t>MBS item CCCC</w:t>
            </w:r>
          </w:p>
          <w:p w14:paraId="723F28D1" w14:textId="77777777" w:rsidR="004A46AA" w:rsidRDefault="004A46AA" w:rsidP="004A46AA">
            <w:pPr>
              <w:pStyle w:val="Tabletext"/>
            </w:pPr>
          </w:p>
          <w:p w14:paraId="7C0DE045" w14:textId="00C6B6DF" w:rsidR="004A46AA" w:rsidRDefault="004A46AA" w:rsidP="004A46AA">
            <w:pPr>
              <w:pStyle w:val="Tabletext"/>
            </w:pPr>
            <w:r>
              <w:t xml:space="preserve">Genetic testing of the reproductive partner of an individual who has a &gt;10% personal risk of being a heterozygous genetic carrier of serious clinical disorders associated with pathogenic or likely pathogenic variants of genes as described in AAAA, for all variants within the relevant gene(s) in which their reproductive partner carries a variant, for the purpose of determining the couple’s reproductive risk of this condition. </w:t>
            </w:r>
            <w:r w:rsidR="00FA58C2">
              <w:t xml:space="preserve">The tested individual must not have received a service described in AAAA. </w:t>
            </w:r>
            <w:r>
              <w:t>Requested by or on behalf of a specialist or consultant physician who manages the treatment of the patient</w:t>
            </w:r>
            <w:r w:rsidR="006C77F2">
              <w:t>.</w:t>
            </w:r>
          </w:p>
          <w:p w14:paraId="3B61AB22" w14:textId="77777777" w:rsidR="004A46AA" w:rsidRDefault="004A46AA" w:rsidP="004A46AA">
            <w:pPr>
              <w:pStyle w:val="Tabletext"/>
            </w:pPr>
          </w:p>
          <w:p w14:paraId="2CEEF8C4" w14:textId="77777777" w:rsidR="004A46AA" w:rsidRPr="00DE3D6C" w:rsidRDefault="004A46AA" w:rsidP="004A46AA">
            <w:pPr>
              <w:pStyle w:val="Tabletext"/>
            </w:pPr>
            <w:r>
              <w:t>One test per couple per lifetime.</w:t>
            </w:r>
          </w:p>
        </w:tc>
      </w:tr>
      <w:tr w:rsidR="004A46AA" w:rsidRPr="00DE3D6C" w14:paraId="407BB775" w14:textId="77777777" w:rsidTr="004A46AA">
        <w:tc>
          <w:tcPr>
            <w:tcW w:w="9016" w:type="dxa"/>
          </w:tcPr>
          <w:p w14:paraId="781E60FD" w14:textId="4BF97E57" w:rsidR="004A46AA" w:rsidRDefault="004A46AA" w:rsidP="004A46AA">
            <w:pPr>
              <w:pStyle w:val="Tabletext"/>
            </w:pPr>
            <w:r>
              <w:t>Fee:  $1200</w:t>
            </w:r>
          </w:p>
        </w:tc>
      </w:tr>
    </w:tbl>
    <w:bookmarkEnd w:id="30"/>
    <w:p w14:paraId="0428706D" w14:textId="592D20CB" w:rsidR="006C77F2" w:rsidRPr="009D4644" w:rsidRDefault="006C77F2" w:rsidP="006C77F2">
      <w:pPr>
        <w:spacing w:before="240"/>
        <w:rPr>
          <w:i/>
          <w:iCs/>
        </w:rPr>
      </w:pPr>
      <w:r w:rsidRPr="009D4644">
        <w:rPr>
          <w:i/>
          <w:iCs/>
        </w:rPr>
        <w:t>The applicant responded that it disagreed partner testing should use gene sequencing, and that the cost of testing for variants in one or more panel genes in partners would be the same as the cost of the panel test (revised to $425). The Department proposes to PASC that the applicant’s proposal for the partner test method and fee be accommodated as a sensitivity analysis in the assessment report.</w:t>
      </w:r>
    </w:p>
    <w:p w14:paraId="334FDF11" w14:textId="282D4537" w:rsidR="00991EEE" w:rsidRPr="006C77F2" w:rsidRDefault="00991EEE" w:rsidP="006C77F2">
      <w:pPr>
        <w:spacing w:before="240"/>
      </w:pPr>
      <w:r>
        <w:t xml:space="preserve">The applicant also </w:t>
      </w:r>
      <w:r w:rsidR="002B7808">
        <w:t>proposed</w:t>
      </w:r>
      <w:r>
        <w:t xml:space="preserve"> that the partner test could </w:t>
      </w:r>
      <w:r w:rsidR="002B7808">
        <w:t xml:space="preserve">also </w:t>
      </w:r>
      <w:r>
        <w:t>be used by partners who were Ashkenazi Jewish and ‘wished to have the best possible reassurance’. The Department suggests it would be more appropriate for partners</w:t>
      </w:r>
      <w:r w:rsidR="00FA58C2">
        <w:t xml:space="preserve"> who are Ashkenazi Jewish</w:t>
      </w:r>
      <w:r>
        <w:t xml:space="preserve"> to receive the panel </w:t>
      </w:r>
      <w:r w:rsidR="00FA58C2">
        <w:t xml:space="preserve">test </w:t>
      </w:r>
      <w:r>
        <w:t xml:space="preserve">than gene sequencing, and so </w:t>
      </w:r>
      <w:r w:rsidR="002B7808">
        <w:t>revis</w:t>
      </w:r>
      <w:r w:rsidR="00FA58C2">
        <w:t>ed</w:t>
      </w:r>
      <w:r>
        <w:t xml:space="preserve"> the </w:t>
      </w:r>
      <w:r w:rsidR="00FA58C2">
        <w:t xml:space="preserve">proposed </w:t>
      </w:r>
      <w:r>
        <w:t xml:space="preserve">wording of CCCC to </w:t>
      </w:r>
      <w:r w:rsidR="00FA58C2">
        <w:t>exclude partners who have received a service described in AAAA</w:t>
      </w:r>
      <w:r>
        <w:t>.</w:t>
      </w:r>
    </w:p>
    <w:tbl>
      <w:tblPr>
        <w:tblStyle w:val="TableGrid"/>
        <w:tblW w:w="0" w:type="auto"/>
        <w:tblInd w:w="0" w:type="dxa"/>
        <w:tblLook w:val="04A0" w:firstRow="1" w:lastRow="0" w:firstColumn="1" w:lastColumn="0" w:noHBand="0" w:noVBand="1"/>
      </w:tblPr>
      <w:tblGrid>
        <w:gridCol w:w="9016"/>
      </w:tblGrid>
      <w:tr w:rsidR="00550E81" w:rsidRPr="00DE3D6C" w14:paraId="53428EEE" w14:textId="77777777" w:rsidTr="00024485">
        <w:tc>
          <w:tcPr>
            <w:tcW w:w="9016" w:type="dxa"/>
          </w:tcPr>
          <w:p w14:paraId="2666DD3F" w14:textId="77777777" w:rsidR="00550E81" w:rsidRPr="00DE3D6C" w:rsidRDefault="00550E81" w:rsidP="00024485">
            <w:pPr>
              <w:pStyle w:val="Tabletext"/>
            </w:pPr>
            <w:r w:rsidRPr="00DB11DC">
              <w:t>Category 6 (Pathology Services) – Group P7 Genetics</w:t>
            </w:r>
          </w:p>
        </w:tc>
      </w:tr>
      <w:tr w:rsidR="00550E81" w:rsidRPr="00DE3D6C" w14:paraId="17CC8BAD" w14:textId="77777777" w:rsidTr="00024485">
        <w:tc>
          <w:tcPr>
            <w:tcW w:w="9016" w:type="dxa"/>
          </w:tcPr>
          <w:p w14:paraId="3B722085" w14:textId="559F2F86" w:rsidR="00550E81" w:rsidRDefault="00550E81" w:rsidP="00024485">
            <w:pPr>
              <w:pStyle w:val="Tabletext"/>
            </w:pPr>
            <w:r>
              <w:t>MBS item DDDD</w:t>
            </w:r>
          </w:p>
          <w:p w14:paraId="245662EA" w14:textId="77777777" w:rsidR="00550E81" w:rsidRDefault="00550E81" w:rsidP="00024485">
            <w:pPr>
              <w:pStyle w:val="Tabletext"/>
            </w:pPr>
          </w:p>
          <w:p w14:paraId="211D6142" w14:textId="0BE6598C" w:rsidR="00550E81" w:rsidRDefault="00AC757C" w:rsidP="00024485">
            <w:pPr>
              <w:pStyle w:val="Tabletext"/>
            </w:pPr>
            <w:r>
              <w:t>Characterisation of</w:t>
            </w:r>
            <w:r w:rsidR="006C4DF5">
              <w:t xml:space="preserve"> one or more pathogenic or likely pathogenic germline gene variants </w:t>
            </w:r>
            <w:r w:rsidR="00991EEE">
              <w:t xml:space="preserve">within the genes </w:t>
            </w:r>
            <w:r w:rsidR="006C4DF5">
              <w:t>mentioned in item AAAA,</w:t>
            </w:r>
            <w:r w:rsidR="00550E81">
              <w:t xml:space="preserve"> in a</w:t>
            </w:r>
            <w:r w:rsidR="006C4DF5">
              <w:t>n individual who is a</w:t>
            </w:r>
            <w:r w:rsidR="00550E81">
              <w:t xml:space="preserve"> first-degree biological relative of a</w:t>
            </w:r>
            <w:r w:rsidR="006B6366">
              <w:t>n individual</w:t>
            </w:r>
            <w:r w:rsidR="00550E81">
              <w:t xml:space="preserve"> </w:t>
            </w:r>
            <w:r w:rsidR="006C4DF5">
              <w:t xml:space="preserve">with an </w:t>
            </w:r>
            <w:r w:rsidR="00550E81">
              <w:t>autosomal recessive pathogenic or likely pathogenic variant</w:t>
            </w:r>
            <w:r w:rsidR="006C4DF5">
              <w:t xml:space="preserve"> confirmed by laboratory findings</w:t>
            </w:r>
            <w:r w:rsidR="00550E81">
              <w:t>, requested by or on behalf of a specialist or consultant physician who manages the treatment of the patient.</w:t>
            </w:r>
          </w:p>
          <w:p w14:paraId="7F28E7EE" w14:textId="77777777" w:rsidR="00550E81" w:rsidRDefault="00550E81" w:rsidP="00024485">
            <w:pPr>
              <w:pStyle w:val="Tabletext"/>
            </w:pPr>
          </w:p>
          <w:p w14:paraId="5F569630" w14:textId="38A5A9CD" w:rsidR="00550E81" w:rsidRPr="00DE3D6C" w:rsidRDefault="00550E81" w:rsidP="00024485">
            <w:pPr>
              <w:pStyle w:val="Tabletext"/>
            </w:pPr>
            <w:r>
              <w:t>One test per</w:t>
            </w:r>
            <w:r w:rsidR="006C4DF5">
              <w:t xml:space="preserve"> variant per</w:t>
            </w:r>
            <w:r>
              <w:t xml:space="preserve"> lifetime.</w:t>
            </w:r>
          </w:p>
        </w:tc>
      </w:tr>
      <w:tr w:rsidR="00550E81" w:rsidRPr="00DE3D6C" w14:paraId="1E8BFD20" w14:textId="77777777" w:rsidTr="00024485">
        <w:tc>
          <w:tcPr>
            <w:tcW w:w="9016" w:type="dxa"/>
          </w:tcPr>
          <w:p w14:paraId="1D173654" w14:textId="77777777" w:rsidR="00550E81" w:rsidRDefault="00550E81" w:rsidP="00024485">
            <w:pPr>
              <w:pStyle w:val="Tabletext"/>
            </w:pPr>
            <w:r>
              <w:t>Fee:  $100</w:t>
            </w:r>
          </w:p>
        </w:tc>
      </w:tr>
    </w:tbl>
    <w:p w14:paraId="4157B751" w14:textId="6B137C53" w:rsidR="00BD033B" w:rsidRDefault="00BD033B" w:rsidP="00BD033B">
      <w:pPr>
        <w:spacing w:before="240"/>
      </w:pPr>
      <w:r w:rsidRPr="009D4644">
        <w:rPr>
          <w:i/>
          <w:iCs/>
        </w:rPr>
        <w:t>At the post-PASC meeting, the applicant agreed that a separate item for the cascade testing of FDRs (DDDD) is not needed as this population have &gt;10% personal risk and so are already captured under AAAA</w:t>
      </w:r>
      <w:r w:rsidRPr="00BD033B">
        <w:t>.</w:t>
      </w:r>
    </w:p>
    <w:tbl>
      <w:tblPr>
        <w:tblStyle w:val="TableGrid"/>
        <w:tblW w:w="0" w:type="auto"/>
        <w:tblInd w:w="0" w:type="dxa"/>
        <w:tblLook w:val="04A0" w:firstRow="1" w:lastRow="0" w:firstColumn="1" w:lastColumn="0" w:noHBand="0" w:noVBand="1"/>
      </w:tblPr>
      <w:tblGrid>
        <w:gridCol w:w="9016"/>
      </w:tblGrid>
      <w:tr w:rsidR="00550E81" w:rsidRPr="00DE3D6C" w14:paraId="7C918CD0" w14:textId="77777777" w:rsidTr="00024485">
        <w:tc>
          <w:tcPr>
            <w:tcW w:w="9016" w:type="dxa"/>
          </w:tcPr>
          <w:p w14:paraId="2206DE79" w14:textId="77777777" w:rsidR="00550E81" w:rsidRPr="00DE3D6C" w:rsidRDefault="00550E81" w:rsidP="00024485">
            <w:pPr>
              <w:pStyle w:val="Tabletext"/>
            </w:pPr>
            <w:r w:rsidRPr="00DB11DC">
              <w:t>Category 6 (Pathology Services) – Group P7 Genetics</w:t>
            </w:r>
          </w:p>
        </w:tc>
      </w:tr>
      <w:tr w:rsidR="00550E81" w:rsidRPr="00DE3D6C" w14:paraId="3A5968DC" w14:textId="77777777" w:rsidTr="00024485">
        <w:tc>
          <w:tcPr>
            <w:tcW w:w="9016" w:type="dxa"/>
          </w:tcPr>
          <w:p w14:paraId="76D404FD" w14:textId="2AFAD606" w:rsidR="00550E81" w:rsidRDefault="00550E81" w:rsidP="00024485">
            <w:pPr>
              <w:pStyle w:val="Tabletext"/>
            </w:pPr>
            <w:r>
              <w:t>MBS item EEEE</w:t>
            </w:r>
          </w:p>
          <w:p w14:paraId="3ED060CF" w14:textId="77777777" w:rsidR="00550E81" w:rsidRDefault="00550E81" w:rsidP="00024485">
            <w:pPr>
              <w:pStyle w:val="Tabletext"/>
            </w:pPr>
          </w:p>
          <w:p w14:paraId="5B1ECBA0" w14:textId="187B7DA4" w:rsidR="00550E81" w:rsidRDefault="00550E81" w:rsidP="00024485">
            <w:pPr>
              <w:pStyle w:val="Tabletext"/>
            </w:pPr>
            <w:r>
              <w:t>Re</w:t>
            </w:r>
            <w:r w:rsidR="00703165">
              <w:t>-</w:t>
            </w:r>
            <w:r>
              <w:t xml:space="preserve">analysis of genetic test results arising from testing previously performed under Items AAAA, for the purpose of identifying previously unreported pathogenic or likely pathogenic variants in genes included </w:t>
            </w:r>
            <w:r w:rsidR="009C687F">
              <w:t>o</w:t>
            </w:r>
            <w:r>
              <w:t>n the gene panel to determine genetic carrier status, where the pathogenicity of these variant</w:t>
            </w:r>
            <w:r w:rsidR="009C687F">
              <w:t>(/</w:t>
            </w:r>
            <w:r>
              <w:t>s</w:t>
            </w:r>
            <w:r w:rsidR="009C687F">
              <w:t>)</w:t>
            </w:r>
            <w:r>
              <w:t xml:space="preserve"> </w:t>
            </w:r>
            <w:r w:rsidR="009C687F">
              <w:t xml:space="preserve">was </w:t>
            </w:r>
            <w:r w:rsidR="003146E7">
              <w:t>not known</w:t>
            </w:r>
            <w:r>
              <w:t xml:space="preserve"> at the time of the previous analysis.</w:t>
            </w:r>
          </w:p>
          <w:p w14:paraId="47769E94" w14:textId="77777777" w:rsidR="00550E81" w:rsidRDefault="00550E81" w:rsidP="00024485">
            <w:pPr>
              <w:pStyle w:val="Tabletext"/>
            </w:pPr>
          </w:p>
          <w:p w14:paraId="19DABF64" w14:textId="45101105" w:rsidR="00550E81" w:rsidRDefault="00F728BB" w:rsidP="00024485">
            <w:pPr>
              <w:pStyle w:val="Tabletext"/>
            </w:pPr>
            <w:r>
              <w:t>Performed at least</w:t>
            </w:r>
            <w:r w:rsidR="00550E81">
              <w:t xml:space="preserve"> five years</w:t>
            </w:r>
            <w:r>
              <w:t xml:space="preserve"> after a service to which AAAA, BBBB, or DDDD applies</w:t>
            </w:r>
            <w:r w:rsidR="00550E81">
              <w:t>.</w:t>
            </w:r>
          </w:p>
          <w:p w14:paraId="2CAE6B5C" w14:textId="0CBEF5BA" w:rsidR="00D77C9B" w:rsidRPr="00DE3D6C" w:rsidRDefault="00D77C9B" w:rsidP="00024485">
            <w:pPr>
              <w:pStyle w:val="Tabletext"/>
            </w:pPr>
            <w:r>
              <w:t>Applicable only twice per lifetime.</w:t>
            </w:r>
          </w:p>
        </w:tc>
      </w:tr>
      <w:tr w:rsidR="00550E81" w:rsidRPr="00DE3D6C" w14:paraId="3306118C" w14:textId="77777777" w:rsidTr="00024485">
        <w:tc>
          <w:tcPr>
            <w:tcW w:w="9016" w:type="dxa"/>
          </w:tcPr>
          <w:p w14:paraId="1318A1DB" w14:textId="77777777" w:rsidR="00550E81" w:rsidRDefault="00550E81" w:rsidP="00024485">
            <w:pPr>
              <w:pStyle w:val="Tabletext"/>
            </w:pPr>
            <w:r>
              <w:lastRenderedPageBreak/>
              <w:t>Fee:  $ 100</w:t>
            </w:r>
          </w:p>
        </w:tc>
      </w:tr>
    </w:tbl>
    <w:p w14:paraId="7D7E2C42" w14:textId="5ADB6F28" w:rsidR="004A46AA" w:rsidRDefault="004A46AA" w:rsidP="004A46AA">
      <w:pPr>
        <w:spacing w:before="240"/>
      </w:pPr>
      <w:r>
        <w:t xml:space="preserve">Because it was agreed at the post-PASC meeting that DDDD is not required, the descriptor for EEEE will need to be amended </w:t>
      </w:r>
      <w:r w:rsidR="005C48A3">
        <w:t xml:space="preserve">for the DCAR </w:t>
      </w:r>
      <w:r>
        <w:t>to remove reference to it.</w:t>
      </w:r>
    </w:p>
    <w:tbl>
      <w:tblPr>
        <w:tblStyle w:val="TableGrid"/>
        <w:tblW w:w="0" w:type="auto"/>
        <w:tblInd w:w="0" w:type="dxa"/>
        <w:tblLook w:val="04A0" w:firstRow="1" w:lastRow="0" w:firstColumn="1" w:lastColumn="0" w:noHBand="0" w:noVBand="1"/>
      </w:tblPr>
      <w:tblGrid>
        <w:gridCol w:w="9016"/>
      </w:tblGrid>
      <w:tr w:rsidR="000A323C" w:rsidRPr="00DE3D6C" w14:paraId="6E1FC232" w14:textId="77777777" w:rsidTr="00474C71">
        <w:tc>
          <w:tcPr>
            <w:tcW w:w="9016" w:type="dxa"/>
          </w:tcPr>
          <w:p w14:paraId="4BC20AA9" w14:textId="77777777" w:rsidR="000A323C" w:rsidRPr="00DE3D6C" w:rsidRDefault="000A323C" w:rsidP="00474C71">
            <w:pPr>
              <w:pStyle w:val="Tabletext"/>
            </w:pPr>
            <w:r w:rsidRPr="00DB11DC">
              <w:t>Category 6 (Pathology Services) – Group P7 Genetics</w:t>
            </w:r>
          </w:p>
        </w:tc>
      </w:tr>
      <w:tr w:rsidR="000A323C" w:rsidRPr="00DE3D6C" w14:paraId="17606A3B" w14:textId="77777777" w:rsidTr="00474C71">
        <w:tc>
          <w:tcPr>
            <w:tcW w:w="9016" w:type="dxa"/>
          </w:tcPr>
          <w:p w14:paraId="5369D8F8" w14:textId="067D6CF4" w:rsidR="000A323C" w:rsidRDefault="000A323C" w:rsidP="00474C71">
            <w:pPr>
              <w:pStyle w:val="Tabletext"/>
            </w:pPr>
            <w:r>
              <w:t>MBS item GGGG</w:t>
            </w:r>
          </w:p>
          <w:p w14:paraId="1EB59603" w14:textId="77777777" w:rsidR="000A323C" w:rsidRDefault="000A323C" w:rsidP="00474C71">
            <w:pPr>
              <w:pStyle w:val="Tabletext"/>
            </w:pPr>
          </w:p>
          <w:p w14:paraId="50590A21" w14:textId="15AC02E4" w:rsidR="000A323C" w:rsidRDefault="000A323C" w:rsidP="00474C71">
            <w:pPr>
              <w:pStyle w:val="Tabletext"/>
            </w:pPr>
            <w:r w:rsidRPr="000A323C">
              <w:t xml:space="preserve">Testing of a pregnant patient, where one or both prospective parents are known to be affected by or carriers of known pathogenic variant/s causative of </w:t>
            </w:r>
            <w:r>
              <w:t>a disease tested for in AAAA</w:t>
            </w:r>
            <w:r w:rsidRPr="000A323C">
              <w:t xml:space="preserve">, for the purpose of determining whether </w:t>
            </w:r>
            <w:r w:rsidR="00345E26">
              <w:t>familial</w:t>
            </w:r>
            <w:r w:rsidRPr="000A323C">
              <w:t xml:space="preserve"> variants are present in the </w:t>
            </w:r>
            <w:proofErr w:type="spellStart"/>
            <w:r w:rsidRPr="000A323C">
              <w:t>fetus</w:t>
            </w:r>
            <w:proofErr w:type="spellEnd"/>
            <w:r w:rsidRPr="000A323C">
              <w:t xml:space="preserve">, if: </w:t>
            </w:r>
          </w:p>
          <w:p w14:paraId="54C07AD8" w14:textId="24FF3A10" w:rsidR="000A323C" w:rsidRDefault="000A323C" w:rsidP="000A323C">
            <w:pPr>
              <w:pStyle w:val="Tabletext"/>
            </w:pPr>
            <w:r w:rsidRPr="000A323C">
              <w:t xml:space="preserve">(a) </w:t>
            </w:r>
            <w:r w:rsidR="00345E26">
              <w:t>The pregnancy is a singleton pregnancy; and</w:t>
            </w:r>
          </w:p>
          <w:p w14:paraId="52DA9E45" w14:textId="21AE3392" w:rsidR="000A323C" w:rsidRDefault="00345E26" w:rsidP="000A323C">
            <w:pPr>
              <w:pStyle w:val="Tabletext"/>
            </w:pPr>
            <w:r>
              <w:t xml:space="preserve">(b) </w:t>
            </w:r>
            <w:r w:rsidR="000A323C" w:rsidRPr="000A323C">
              <w:t xml:space="preserve">The detection is requested by a consultant physician practising as a clinical geneticist; </w:t>
            </w:r>
            <w:r w:rsidR="000A323C">
              <w:t>and</w:t>
            </w:r>
          </w:p>
          <w:p w14:paraId="78DB4079" w14:textId="3500F283" w:rsidR="000A323C" w:rsidRDefault="000A323C" w:rsidP="00474C71">
            <w:pPr>
              <w:pStyle w:val="Tabletext"/>
            </w:pPr>
            <w:r w:rsidRPr="000A323C">
              <w:t>(</w:t>
            </w:r>
            <w:r w:rsidR="00345E26">
              <w:t>c</w:t>
            </w:r>
            <w:r w:rsidRPr="000A323C">
              <w:t xml:space="preserve">) The </w:t>
            </w:r>
            <w:proofErr w:type="spellStart"/>
            <w:r w:rsidRPr="000A323C">
              <w:t>fetus</w:t>
            </w:r>
            <w:proofErr w:type="spellEnd"/>
            <w:r w:rsidRPr="000A323C">
              <w:t xml:space="preserve"> is at 25% or more risk of inheriting a monogenic variant known to cause </w:t>
            </w:r>
            <w:r>
              <w:t xml:space="preserve">a </w:t>
            </w:r>
            <w:r w:rsidRPr="000A323C">
              <w:t>disease</w:t>
            </w:r>
            <w:r>
              <w:t xml:space="preserve"> tested for in AAAA</w:t>
            </w:r>
            <w:r w:rsidRPr="000A323C">
              <w:t>.</w:t>
            </w:r>
          </w:p>
          <w:p w14:paraId="182EBB19" w14:textId="77777777" w:rsidR="000A323C" w:rsidRDefault="000A323C" w:rsidP="00474C71">
            <w:pPr>
              <w:pStyle w:val="Tabletext"/>
            </w:pPr>
          </w:p>
          <w:p w14:paraId="0E4565D6" w14:textId="29DAC411" w:rsidR="000A323C" w:rsidRPr="00DE3D6C" w:rsidRDefault="000A323C" w:rsidP="00474C71">
            <w:pPr>
              <w:pStyle w:val="Tabletext"/>
            </w:pPr>
            <w:r>
              <w:t>One test per pregnancy.</w:t>
            </w:r>
          </w:p>
        </w:tc>
      </w:tr>
      <w:tr w:rsidR="000A323C" w:rsidRPr="00DE3D6C" w14:paraId="479E8856" w14:textId="77777777" w:rsidTr="00474C71">
        <w:tc>
          <w:tcPr>
            <w:tcW w:w="9016" w:type="dxa"/>
          </w:tcPr>
          <w:p w14:paraId="68D828B5" w14:textId="77777777" w:rsidR="000A323C" w:rsidRDefault="000A323C" w:rsidP="00474C71">
            <w:pPr>
              <w:pStyle w:val="Tabletext"/>
            </w:pPr>
            <w:r>
              <w:t>Fee:  $ 100</w:t>
            </w:r>
          </w:p>
        </w:tc>
      </w:tr>
    </w:tbl>
    <w:p w14:paraId="450609C0" w14:textId="5FD27BCF" w:rsidR="00583418" w:rsidRPr="009D4644" w:rsidRDefault="00583418" w:rsidP="00583418">
      <w:pPr>
        <w:spacing w:before="240"/>
        <w:rPr>
          <w:i/>
          <w:iCs/>
        </w:rPr>
      </w:pPr>
      <w:r w:rsidRPr="009D4644">
        <w:rPr>
          <w:i/>
          <w:iCs/>
        </w:rPr>
        <w:t>PASC advised the fee for GGGG (</w:t>
      </w:r>
      <w:proofErr w:type="spellStart"/>
      <w:r w:rsidRPr="009D4644">
        <w:rPr>
          <w:i/>
          <w:iCs/>
        </w:rPr>
        <w:t>fetal</w:t>
      </w:r>
      <w:proofErr w:type="spellEnd"/>
      <w:r w:rsidRPr="009D4644">
        <w:rPr>
          <w:i/>
          <w:iCs/>
        </w:rPr>
        <w:t xml:space="preserve"> testing for a known familial variant) will need be increased. </w:t>
      </w:r>
    </w:p>
    <w:p w14:paraId="62338695" w14:textId="09EF8676" w:rsidR="00D37A3F" w:rsidRPr="00D37A3F" w:rsidRDefault="003F0A39" w:rsidP="00713728">
      <w:pPr>
        <w:pStyle w:val="Heading2"/>
      </w:pPr>
      <w:r>
        <w:t>Summary of public consultation</w:t>
      </w:r>
      <w:r w:rsidRPr="00D37A3F">
        <w:t xml:space="preserve"> </w:t>
      </w:r>
      <w:r w:rsidR="00E470B0">
        <w:t>input</w:t>
      </w:r>
    </w:p>
    <w:p w14:paraId="33270553" w14:textId="68E51AB1" w:rsidR="00AF4E40" w:rsidRDefault="00AF4E40" w:rsidP="00AF4E40">
      <w:pPr>
        <w:rPr>
          <w:rFonts w:asciiTheme="minorHAnsi" w:hAnsiTheme="minorHAnsi" w:cstheme="minorHAnsi"/>
        </w:rPr>
      </w:pPr>
      <w:r>
        <w:rPr>
          <w:rFonts w:asciiTheme="minorHAnsi" w:hAnsiTheme="minorHAnsi" w:cstheme="minorHAnsi"/>
        </w:rPr>
        <w:t>Input was received from one individual and one organisation, the Victorian Clinical Genetics Service (VCGS). Feedback was mixed, with both supportive and unsupportive perspectives received, however both responses did not agree with testing eligibility being defined by ethnicity.</w:t>
      </w:r>
    </w:p>
    <w:p w14:paraId="412BE5DA" w14:textId="5AFD7595" w:rsidR="00AF4E40" w:rsidRDefault="00AF4E40" w:rsidP="00AF4E40">
      <w:pPr>
        <w:rPr>
          <w:rFonts w:asciiTheme="minorHAnsi" w:hAnsiTheme="minorHAnsi" w:cstheme="minorHAnsi"/>
        </w:rPr>
      </w:pPr>
      <w:r>
        <w:rPr>
          <w:rFonts w:asciiTheme="minorHAnsi" w:hAnsiTheme="minorHAnsi" w:cstheme="minorHAnsi"/>
        </w:rPr>
        <w:t>The advantages of the proposed testing were stated to be:</w:t>
      </w:r>
    </w:p>
    <w:p w14:paraId="4C1DC47F" w14:textId="77777777" w:rsidR="00AF4E40" w:rsidRDefault="00AF4E40" w:rsidP="00556800">
      <w:pPr>
        <w:pStyle w:val="ListParagraph"/>
        <w:numPr>
          <w:ilvl w:val="0"/>
          <w:numId w:val="12"/>
        </w:numPr>
        <w:spacing w:after="160" w:line="256" w:lineRule="auto"/>
        <w:rPr>
          <w:rFonts w:asciiTheme="minorHAnsi" w:hAnsiTheme="minorHAnsi" w:cstheme="minorHAnsi"/>
        </w:rPr>
      </w:pPr>
      <w:r>
        <w:rPr>
          <w:rFonts w:asciiTheme="minorHAnsi" w:hAnsiTheme="minorHAnsi" w:cstheme="minorHAnsi"/>
        </w:rPr>
        <w:t>Preconception genetic testing may facilitate disease prevention and, in the context of IVF, may avoid suffering and child loss.</w:t>
      </w:r>
    </w:p>
    <w:p w14:paraId="2D080FFC" w14:textId="77777777" w:rsidR="00AF4E40" w:rsidRDefault="00AF4E40" w:rsidP="00556800">
      <w:pPr>
        <w:pStyle w:val="ListParagraph"/>
        <w:numPr>
          <w:ilvl w:val="0"/>
          <w:numId w:val="12"/>
        </w:numPr>
        <w:spacing w:after="160" w:line="256" w:lineRule="auto"/>
        <w:rPr>
          <w:rFonts w:asciiTheme="minorHAnsi" w:hAnsiTheme="minorHAnsi" w:cstheme="minorHAnsi"/>
        </w:rPr>
      </w:pPr>
      <w:r>
        <w:rPr>
          <w:rFonts w:asciiTheme="minorHAnsi" w:hAnsiTheme="minorHAnsi" w:cstheme="minorHAnsi"/>
        </w:rPr>
        <w:t>MBS funding of preconception genetic testing would promote equity of access.</w:t>
      </w:r>
    </w:p>
    <w:p w14:paraId="2959F3D7" w14:textId="77777777" w:rsidR="00AF4E40" w:rsidRDefault="00AF4E40" w:rsidP="00556800">
      <w:pPr>
        <w:pStyle w:val="ListParagraph"/>
        <w:numPr>
          <w:ilvl w:val="0"/>
          <w:numId w:val="12"/>
        </w:numPr>
        <w:spacing w:after="160" w:line="256" w:lineRule="auto"/>
        <w:rPr>
          <w:rFonts w:asciiTheme="minorHAnsi" w:hAnsiTheme="minorHAnsi" w:cstheme="minorHAnsi"/>
        </w:rPr>
      </w:pPr>
      <w:r>
        <w:rPr>
          <w:rFonts w:asciiTheme="minorHAnsi" w:hAnsiTheme="minorHAnsi" w:cstheme="minorHAnsi"/>
        </w:rPr>
        <w:t>MBS funding of preconception genetic testing may reduce the cost of caring for children with severe disease.</w:t>
      </w:r>
    </w:p>
    <w:p w14:paraId="7AEC48E8" w14:textId="57FC24A5" w:rsidR="00AF4E40" w:rsidRDefault="00AF4E40" w:rsidP="00AF4E40">
      <w:pPr>
        <w:rPr>
          <w:rFonts w:asciiTheme="minorHAnsi" w:hAnsiTheme="minorHAnsi" w:cstheme="minorHAnsi"/>
        </w:rPr>
      </w:pPr>
      <w:r>
        <w:rPr>
          <w:rFonts w:asciiTheme="minorHAnsi" w:hAnsiTheme="minorHAnsi" w:cstheme="minorHAnsi"/>
        </w:rPr>
        <w:t>The disadvantages of the proposed testing were stated to be:</w:t>
      </w:r>
    </w:p>
    <w:p w14:paraId="55B5E943" w14:textId="77777777" w:rsidR="00AF4E40" w:rsidRDefault="00AF4E40" w:rsidP="00556800">
      <w:pPr>
        <w:pStyle w:val="ListParagraph"/>
        <w:numPr>
          <w:ilvl w:val="0"/>
          <w:numId w:val="13"/>
        </w:numPr>
        <w:spacing w:after="160" w:line="256" w:lineRule="auto"/>
        <w:rPr>
          <w:rFonts w:asciiTheme="minorHAnsi" w:hAnsiTheme="minorHAnsi" w:cstheme="minorHAnsi"/>
        </w:rPr>
      </w:pPr>
      <w:r>
        <w:rPr>
          <w:rFonts w:asciiTheme="minorHAnsi" w:hAnsiTheme="minorHAnsi" w:cstheme="minorHAnsi"/>
        </w:rPr>
        <w:t>It is difficult to gauge an individual’s risk of severe monogenic disorders.</w:t>
      </w:r>
    </w:p>
    <w:p w14:paraId="3EC28848" w14:textId="77777777" w:rsidR="00AF4E40" w:rsidRDefault="00AF4E40" w:rsidP="00556800">
      <w:pPr>
        <w:pStyle w:val="ListParagraph"/>
        <w:numPr>
          <w:ilvl w:val="0"/>
          <w:numId w:val="13"/>
        </w:numPr>
        <w:spacing w:after="160" w:line="256" w:lineRule="auto"/>
        <w:rPr>
          <w:rFonts w:asciiTheme="minorHAnsi" w:hAnsiTheme="minorHAnsi" w:cstheme="minorHAnsi"/>
        </w:rPr>
      </w:pPr>
      <w:r>
        <w:rPr>
          <w:rFonts w:asciiTheme="minorHAnsi" w:hAnsiTheme="minorHAnsi" w:cstheme="minorHAnsi"/>
        </w:rPr>
        <w:t>Defining the population by ethnic ancestry may become ineffective as some patients may not know their ethnic ancestry, may be from multiethnic backgrounds or, may have a partner of a different ethnicity that is not captured in the proposed population.</w:t>
      </w:r>
    </w:p>
    <w:p w14:paraId="47F2FCEF" w14:textId="0F5E26D2" w:rsidR="00AF4E40" w:rsidRDefault="00AF4E40" w:rsidP="00AF4E40">
      <w:pPr>
        <w:rPr>
          <w:rFonts w:asciiTheme="minorHAnsi" w:hAnsiTheme="minorHAnsi" w:cstheme="minorHAnsi"/>
        </w:rPr>
      </w:pPr>
      <w:r>
        <w:rPr>
          <w:rFonts w:asciiTheme="minorHAnsi" w:hAnsiTheme="minorHAnsi" w:cstheme="minorHAnsi"/>
        </w:rPr>
        <w:t>The following other points were raised:</w:t>
      </w:r>
    </w:p>
    <w:p w14:paraId="4FDE414D" w14:textId="77777777" w:rsidR="00AF4E40" w:rsidRDefault="00AF4E40" w:rsidP="00556800">
      <w:pPr>
        <w:pStyle w:val="ListParagraph"/>
        <w:numPr>
          <w:ilvl w:val="0"/>
          <w:numId w:val="13"/>
        </w:numPr>
        <w:spacing w:after="160" w:line="256" w:lineRule="auto"/>
        <w:rPr>
          <w:rFonts w:asciiTheme="minorHAnsi" w:hAnsiTheme="minorHAnsi" w:cstheme="minorHAnsi"/>
        </w:rPr>
      </w:pPr>
      <w:r>
        <w:rPr>
          <w:rFonts w:asciiTheme="minorHAnsi" w:hAnsiTheme="minorHAnsi" w:cstheme="minorHAnsi"/>
        </w:rPr>
        <w:t>The population may be extended to include all prospective parents or other ethnicities with high risk for severe monogenic conditions.</w:t>
      </w:r>
    </w:p>
    <w:p w14:paraId="1C7C1711" w14:textId="77777777" w:rsidR="00AF4E40" w:rsidRDefault="00AF4E40" w:rsidP="00556800">
      <w:pPr>
        <w:pStyle w:val="ListParagraph"/>
        <w:numPr>
          <w:ilvl w:val="0"/>
          <w:numId w:val="13"/>
        </w:numPr>
        <w:spacing w:after="160" w:line="256" w:lineRule="auto"/>
        <w:rPr>
          <w:rFonts w:asciiTheme="minorHAnsi" w:hAnsiTheme="minorHAnsi" w:cstheme="minorHAnsi"/>
        </w:rPr>
      </w:pPr>
      <w:r>
        <w:rPr>
          <w:rFonts w:asciiTheme="minorHAnsi" w:hAnsiTheme="minorHAnsi" w:cstheme="minorHAnsi"/>
        </w:rPr>
        <w:t>The targeted gene panel should be broad to target common autosomal recessive conditions.</w:t>
      </w:r>
    </w:p>
    <w:p w14:paraId="5F8DB6D3" w14:textId="170B16F6" w:rsidR="00AF4E40" w:rsidRDefault="00AF4E40" w:rsidP="00556800">
      <w:pPr>
        <w:pStyle w:val="ListParagraph"/>
        <w:numPr>
          <w:ilvl w:val="0"/>
          <w:numId w:val="13"/>
        </w:numPr>
        <w:spacing w:after="160" w:line="256" w:lineRule="auto"/>
        <w:rPr>
          <w:rFonts w:asciiTheme="minorHAnsi" w:hAnsiTheme="minorHAnsi" w:cstheme="minorHAnsi"/>
        </w:rPr>
      </w:pPr>
      <w:r>
        <w:rPr>
          <w:rFonts w:asciiTheme="minorHAnsi" w:hAnsiTheme="minorHAnsi" w:cstheme="minorHAnsi"/>
        </w:rPr>
        <w:t>In the prenatal test setting both partners should be screened concurrently.</w:t>
      </w:r>
    </w:p>
    <w:p w14:paraId="474544E4" w14:textId="7F80A1F4" w:rsidR="00067595" w:rsidRDefault="00067595" w:rsidP="00067595">
      <w:pPr>
        <w:spacing w:after="160" w:line="256" w:lineRule="auto"/>
        <w:ind w:left="360"/>
        <w:rPr>
          <w:rFonts w:asciiTheme="minorHAnsi" w:hAnsiTheme="minorHAnsi" w:cstheme="minorHAnsi"/>
        </w:rPr>
      </w:pPr>
    </w:p>
    <w:p w14:paraId="04D21065" w14:textId="3F9E2B7F" w:rsidR="00067595" w:rsidRPr="00067595" w:rsidRDefault="00067595" w:rsidP="00067595">
      <w:pPr>
        <w:spacing w:after="160" w:line="256" w:lineRule="auto"/>
        <w:rPr>
          <w:rFonts w:asciiTheme="minorHAnsi" w:hAnsiTheme="minorHAnsi" w:cstheme="minorHAnsi"/>
        </w:rPr>
      </w:pPr>
      <w:r w:rsidRPr="00457C7D">
        <w:rPr>
          <w:rFonts w:asciiTheme="minorHAnsi" w:hAnsiTheme="minorHAnsi" w:cstheme="minorHAnsi"/>
          <w:i/>
        </w:rPr>
        <w:lastRenderedPageBreak/>
        <w:t>PASC noted that input was received from one individual and one organisation, the Victorian Clinical Genetics Service (VCGS). Feedback was mixed, with both supportive and unsupportive perspectives received, however both responses did not agree with testing eligibility being defined by ethnicity</w:t>
      </w:r>
    </w:p>
    <w:p w14:paraId="4E68667F" w14:textId="77777777" w:rsidR="00D37A3F" w:rsidRPr="00D37A3F" w:rsidRDefault="00D37A3F" w:rsidP="00713728">
      <w:pPr>
        <w:pStyle w:val="Heading2"/>
      </w:pPr>
      <w:r w:rsidRPr="00D37A3F">
        <w:t>Next steps</w:t>
      </w:r>
    </w:p>
    <w:p w14:paraId="5E3667AE" w14:textId="2F25948C" w:rsidR="00457CBA" w:rsidRDefault="00457CBA" w:rsidP="00457CBA">
      <w:pPr>
        <w:autoSpaceDE w:val="0"/>
        <w:autoSpaceDN w:val="0"/>
        <w:adjustRightInd w:val="0"/>
        <w:spacing w:line="23" w:lineRule="atLeast"/>
        <w:rPr>
          <w:rFonts w:asciiTheme="minorHAnsi" w:hAnsiTheme="minorHAnsi" w:cstheme="minorHAnsi"/>
          <w:i/>
          <w:iCs/>
        </w:rPr>
      </w:pPr>
      <w:r w:rsidRPr="009D4644">
        <w:rPr>
          <w:rFonts w:asciiTheme="minorHAnsi" w:hAnsiTheme="minorHAnsi" w:cstheme="minorHAnsi"/>
          <w:i/>
          <w:iCs/>
        </w:rPr>
        <w:t xml:space="preserve">PASC advised that the </w:t>
      </w:r>
      <w:r w:rsidR="00A77FE6" w:rsidRPr="009D4644">
        <w:rPr>
          <w:rFonts w:asciiTheme="minorHAnsi" w:hAnsiTheme="minorHAnsi" w:cstheme="minorHAnsi"/>
          <w:i/>
          <w:iCs/>
        </w:rPr>
        <w:t xml:space="preserve">PICO </w:t>
      </w:r>
      <w:r w:rsidRPr="009D4644">
        <w:rPr>
          <w:rFonts w:asciiTheme="minorHAnsi" w:hAnsiTheme="minorHAnsi" w:cstheme="minorHAnsi"/>
          <w:i/>
          <w:iCs/>
        </w:rPr>
        <w:t xml:space="preserve">required substantial </w:t>
      </w:r>
      <w:r w:rsidR="00A77FE6" w:rsidRPr="009D4644">
        <w:rPr>
          <w:rFonts w:asciiTheme="minorHAnsi" w:hAnsiTheme="minorHAnsi" w:cstheme="minorHAnsi"/>
          <w:i/>
          <w:iCs/>
        </w:rPr>
        <w:t>revision</w:t>
      </w:r>
      <w:r w:rsidRPr="009D4644">
        <w:rPr>
          <w:rFonts w:asciiTheme="minorHAnsi" w:hAnsiTheme="minorHAnsi" w:cstheme="minorHAnsi"/>
          <w:i/>
          <w:iCs/>
        </w:rPr>
        <w:t xml:space="preserve">. The applicant may resubmit the </w:t>
      </w:r>
      <w:r w:rsidR="00A77FE6" w:rsidRPr="009D4644">
        <w:rPr>
          <w:rFonts w:asciiTheme="minorHAnsi" w:hAnsiTheme="minorHAnsi" w:cstheme="minorHAnsi"/>
          <w:i/>
          <w:iCs/>
        </w:rPr>
        <w:t xml:space="preserve">PICO </w:t>
      </w:r>
      <w:r w:rsidRPr="009D4644">
        <w:rPr>
          <w:rFonts w:asciiTheme="minorHAnsi" w:hAnsiTheme="minorHAnsi" w:cstheme="minorHAnsi"/>
          <w:i/>
          <w:iCs/>
        </w:rPr>
        <w:t>to PASC out of session.</w:t>
      </w:r>
    </w:p>
    <w:p w14:paraId="4FC09B3F" w14:textId="11808F5B" w:rsidR="00C3431A" w:rsidRDefault="00C3431A" w:rsidP="00C3431A">
      <w:pPr>
        <w:pStyle w:val="Heading2"/>
      </w:pPr>
      <w:r w:rsidRPr="00C3431A">
        <w:t>Applicant Comments on the PICO Confirmation</w:t>
      </w:r>
    </w:p>
    <w:p w14:paraId="0C085C0C" w14:textId="7015A49B" w:rsidR="00C3431A" w:rsidRDefault="00C3431A" w:rsidP="00C3431A">
      <w:r>
        <w:rPr>
          <w:u w:val="single"/>
        </w:rPr>
        <w:t>Comparator</w:t>
      </w:r>
    </w:p>
    <w:p w14:paraId="2D819A27" w14:textId="45B9C954" w:rsidR="00C3431A" w:rsidRPr="00C3431A" w:rsidRDefault="00C3431A" w:rsidP="00C3431A">
      <w:pPr>
        <w:spacing w:after="120" w:line="240" w:lineRule="auto"/>
        <w:rPr>
          <w:i/>
          <w:iCs/>
        </w:rPr>
      </w:pPr>
      <w:r>
        <w:rPr>
          <w:i/>
          <w:iCs/>
        </w:rPr>
        <w:t>The applicant</w:t>
      </w:r>
      <w:r w:rsidRPr="00C3431A">
        <w:rPr>
          <w:i/>
          <w:iCs/>
        </w:rPr>
        <w:t xml:space="preserve"> stated genetic carrier testing for spinal muscular atrophy (SMA), cystic fibrosis (CF), and fragile-X syndrome (FXS), as supported by MSAC for Application 1573 cannot be considered the true comparator, as this item number, although approved by the MSAC, is </w:t>
      </w:r>
      <w:r w:rsidRPr="00C3431A">
        <w:rPr>
          <w:i/>
          <w:iCs/>
          <w:u w:val="single"/>
        </w:rPr>
        <w:t>not</w:t>
      </w:r>
      <w:r w:rsidRPr="00C3431A">
        <w:rPr>
          <w:i/>
          <w:iCs/>
        </w:rPr>
        <w:t xml:space="preserve"> currently listed on the MBS. </w:t>
      </w:r>
    </w:p>
    <w:p w14:paraId="7C8C3AC8" w14:textId="77777777" w:rsidR="00C3431A" w:rsidRDefault="00C3431A" w:rsidP="00C3431A">
      <w:pPr>
        <w:rPr>
          <w:i/>
          <w:iCs/>
        </w:rPr>
      </w:pPr>
      <w:r w:rsidRPr="00C3431A">
        <w:rPr>
          <w:i/>
          <w:iCs/>
        </w:rPr>
        <w:t>The</w:t>
      </w:r>
      <w:r>
        <w:rPr>
          <w:i/>
          <w:iCs/>
        </w:rPr>
        <w:t xml:space="preserve"> applicant further stated the</w:t>
      </w:r>
      <w:r w:rsidRPr="00C3431A">
        <w:rPr>
          <w:i/>
          <w:iCs/>
        </w:rPr>
        <w:t xml:space="preserve"> comparator for 1573 was “No opportunistic genetic carrier testing”,</w:t>
      </w:r>
      <w:r>
        <w:rPr>
          <w:i/>
          <w:iCs/>
        </w:rPr>
        <w:t xml:space="preserve"> and expressed that they believe this</w:t>
      </w:r>
      <w:r w:rsidRPr="00C3431A">
        <w:rPr>
          <w:i/>
          <w:iCs/>
        </w:rPr>
        <w:t xml:space="preserve"> should be the case for the current application. </w:t>
      </w:r>
    </w:p>
    <w:p w14:paraId="0958C4C6" w14:textId="7ED6118B" w:rsidR="00C3431A" w:rsidRPr="00C3431A" w:rsidRDefault="00C3431A" w:rsidP="00C3431A">
      <w:pPr>
        <w:rPr>
          <w:i/>
          <w:iCs/>
        </w:rPr>
      </w:pPr>
      <w:r>
        <w:rPr>
          <w:i/>
          <w:iCs/>
        </w:rPr>
        <w:t xml:space="preserve">The applicant </w:t>
      </w:r>
      <w:r w:rsidR="00AD29F2">
        <w:rPr>
          <w:i/>
          <w:iCs/>
        </w:rPr>
        <w:t>added that</w:t>
      </w:r>
      <w:r>
        <w:rPr>
          <w:i/>
          <w:iCs/>
        </w:rPr>
        <w:t xml:space="preserve"> </w:t>
      </w:r>
      <w:r w:rsidR="00AD29F2">
        <w:rPr>
          <w:i/>
          <w:iCs/>
        </w:rPr>
        <w:t>they</w:t>
      </w:r>
      <w:r w:rsidRPr="00C3431A">
        <w:rPr>
          <w:i/>
          <w:iCs/>
        </w:rPr>
        <w:t xml:space="preserve"> envisaged that this current application will be </w:t>
      </w:r>
      <w:r w:rsidRPr="00C3431A">
        <w:rPr>
          <w:i/>
          <w:iCs/>
          <w:u w:val="single"/>
        </w:rPr>
        <w:t>additive</w:t>
      </w:r>
      <w:r w:rsidRPr="00C3431A">
        <w:rPr>
          <w:i/>
          <w:iCs/>
        </w:rPr>
        <w:t xml:space="preserve"> to 1573, as described by the draft item numbers, which state that “in a panel of genes that must include variants in the cystic fibrosis transmembrane conductance regulator (CFTR), survival motor neuron 1 (SMN1), fragile X mental retardation 1 (FMR1) genes in addition to at least (*3) other genes relevant to the ancestry of that individual” (*noting that the number of genes was omitted in item number AAAA but included in BBBB in the application).</w:t>
      </w:r>
    </w:p>
    <w:p w14:paraId="73A2A9C9" w14:textId="75713C2D" w:rsidR="006478E7" w:rsidRDefault="00A33126" w:rsidP="00713728">
      <w:pPr>
        <w:pStyle w:val="Heading2"/>
      </w:pPr>
      <w:r w:rsidRPr="00A33126">
        <w:t>References</w:t>
      </w:r>
    </w:p>
    <w:p w14:paraId="79BD18FC" w14:textId="4989A79F" w:rsidR="00C24EA3" w:rsidRPr="00C24EA3" w:rsidRDefault="00550E81" w:rsidP="00C24EA3">
      <w:pPr>
        <w:pStyle w:val="EndNoteBibliography"/>
        <w:spacing w:after="360"/>
      </w:pPr>
      <w:r>
        <w:fldChar w:fldCharType="begin"/>
      </w:r>
      <w:r>
        <w:instrText xml:space="preserve"> ADDIN EN.REFLIST </w:instrText>
      </w:r>
      <w:r>
        <w:fldChar w:fldCharType="separate"/>
      </w:r>
      <w:r w:rsidR="00C24EA3" w:rsidRPr="00C24EA3">
        <w:t xml:space="preserve">Bali, D. S., Chen, Y. T., Austin, S., &amp; Goldstein, J. L. (2016). Glycogen Storage Disease Type I. </w:t>
      </w:r>
      <w:r w:rsidR="00C24EA3" w:rsidRPr="00C24EA3">
        <w:rPr>
          <w:i/>
        </w:rPr>
        <w:t>GeneReviews®.</w:t>
      </w:r>
      <w:r w:rsidR="00C24EA3" w:rsidRPr="00C24EA3">
        <w:t xml:space="preserve"> Retrieved from </w:t>
      </w:r>
      <w:hyperlink r:id="rId18" w:history="1">
        <w:r w:rsidR="00C24EA3" w:rsidRPr="00C24EA3">
          <w:rPr>
            <w:rStyle w:val="Hyperlink"/>
            <w:rFonts w:ascii="Calibri" w:hAnsi="Calibri" w:cs="Calibri"/>
          </w:rPr>
          <w:t>https://www.ncbi.nlm.nih.gov/books/NBK1312/</w:t>
        </w:r>
      </w:hyperlink>
    </w:p>
    <w:p w14:paraId="0081A0FF" w14:textId="77777777" w:rsidR="00C24EA3" w:rsidRPr="00C24EA3" w:rsidRDefault="00C24EA3" w:rsidP="00C24EA3">
      <w:pPr>
        <w:pStyle w:val="EndNoteBibliography"/>
        <w:spacing w:after="360"/>
      </w:pPr>
      <w:r w:rsidRPr="00C24EA3">
        <w:t xml:space="preserve">Beard, C. A., Amor, D. J., Di Pietro, L., &amp; Archibald, A. D. (2016). "I'm Healthy, It's Not Going To Be Me": Exploring experiences of carriers identified through a population reproductive genetic carrier screening panel in Australia. </w:t>
      </w:r>
      <w:r w:rsidRPr="00C24EA3">
        <w:rPr>
          <w:i/>
        </w:rPr>
        <w:t>Am J Med Genet A, 170</w:t>
      </w:r>
      <w:r w:rsidRPr="00C24EA3">
        <w:t>(8), 2052-2059. doi:10.1002/ajmg.a.37697</w:t>
      </w:r>
    </w:p>
    <w:p w14:paraId="7EDB519A" w14:textId="24651864" w:rsidR="00C24EA3" w:rsidRPr="00C24EA3" w:rsidRDefault="00C24EA3" w:rsidP="00C24EA3">
      <w:pPr>
        <w:pStyle w:val="EndNoteBibliography"/>
        <w:spacing w:after="360"/>
        <w:rPr>
          <w:u w:val="single"/>
        </w:rPr>
      </w:pPr>
      <w:r w:rsidRPr="00C24EA3">
        <w:t xml:space="preserve">Cancer Council Australia. (2018). Principles of screening - National Cancer Control Policy. Retrieved from </w:t>
      </w:r>
      <w:hyperlink r:id="rId19" w:history="1">
        <w:r w:rsidRPr="00C24EA3">
          <w:rPr>
            <w:rStyle w:val="Hyperlink"/>
            <w:rFonts w:ascii="Calibri" w:hAnsi="Calibri" w:cs="Calibri"/>
          </w:rPr>
          <w:t>https://wiki.cancer.org.au/policy/Principles_of_screening</w:t>
        </w:r>
      </w:hyperlink>
    </w:p>
    <w:p w14:paraId="5168F7BC" w14:textId="77777777" w:rsidR="00C24EA3" w:rsidRPr="00C24EA3" w:rsidRDefault="00C24EA3" w:rsidP="00C24EA3">
      <w:pPr>
        <w:pStyle w:val="EndNoteBibliography"/>
        <w:spacing w:after="360"/>
      </w:pPr>
      <w:r w:rsidRPr="00C24EA3">
        <w:t xml:space="preserve">Curd, H., Lewis, S., Macciocca, I., Sahhar, M., Petrou, V., Bankier, A., . . . Delatycki, M. B. (2014). High school Tay-Sachs disease carrier screening: 5 To 11-year follow-up. </w:t>
      </w:r>
      <w:r w:rsidRPr="00C24EA3">
        <w:rPr>
          <w:i/>
        </w:rPr>
        <w:t>Journal of Community Genetics, 5</w:t>
      </w:r>
      <w:r w:rsidRPr="00C24EA3">
        <w:t>(2), 139-146. doi:10.1007/s12687-013-0163-z</w:t>
      </w:r>
    </w:p>
    <w:p w14:paraId="552591B1" w14:textId="43CEAB55" w:rsidR="00C24EA3" w:rsidRPr="00C24EA3" w:rsidRDefault="00C24EA3" w:rsidP="00C24EA3">
      <w:pPr>
        <w:pStyle w:val="EndNoteBibliography"/>
        <w:spacing w:after="360"/>
      </w:pPr>
      <w:r w:rsidRPr="00C24EA3">
        <w:t xml:space="preserve">Delatycki, M., Laing, N., Moore, S., Emery, J., Archibald, A., Massie, J., &amp; Kirk, E. (2019). Preconception and antenatal carrier screening for genetic conditions. </w:t>
      </w:r>
      <w:r w:rsidRPr="00C24EA3">
        <w:rPr>
          <w:i/>
        </w:rPr>
        <w:t>Australian Journal for General Practitioners, 48</w:t>
      </w:r>
      <w:r w:rsidRPr="00C24EA3">
        <w:t xml:space="preserve">, 106-110. Retrieved from </w:t>
      </w:r>
      <w:hyperlink r:id="rId20" w:history="1">
        <w:r w:rsidRPr="00C24EA3">
          <w:rPr>
            <w:rStyle w:val="Hyperlink"/>
            <w:rFonts w:ascii="Calibri" w:hAnsi="Calibri" w:cs="Calibri"/>
          </w:rPr>
          <w:t>https://www1.racgp.org.au/ajgp/2019/march/preconception-and-antenatal-carrier-screening-for</w:t>
        </w:r>
      </w:hyperlink>
    </w:p>
    <w:p w14:paraId="3FD693D2" w14:textId="4A539361" w:rsidR="00C24EA3" w:rsidRPr="00C24EA3" w:rsidRDefault="00C24EA3" w:rsidP="00C24EA3">
      <w:pPr>
        <w:pStyle w:val="EndNoteBibliography"/>
        <w:spacing w:after="360"/>
      </w:pPr>
      <w:r w:rsidRPr="00C24EA3">
        <w:t xml:space="preserve">Department of Health. (2018). Life Saving Drugs Program – Gaucher disease (type 1) – Guidelines. Retrieved from </w:t>
      </w:r>
      <w:hyperlink r:id="rId21" w:history="1">
        <w:r w:rsidRPr="00C24EA3">
          <w:rPr>
            <w:rStyle w:val="Hyperlink"/>
            <w:rFonts w:ascii="Calibri" w:hAnsi="Calibri" w:cs="Calibri"/>
          </w:rPr>
          <w:t>https://www.health.gov.au/resources/publications/lsdp-gaucher-guidelines</w:t>
        </w:r>
      </w:hyperlink>
    </w:p>
    <w:p w14:paraId="46A569A9" w14:textId="742A5BEB" w:rsidR="00C24EA3" w:rsidRPr="00C24EA3" w:rsidRDefault="00C24EA3" w:rsidP="00C24EA3">
      <w:pPr>
        <w:pStyle w:val="EndNoteBibliography"/>
        <w:spacing w:after="360"/>
      </w:pPr>
      <w:r w:rsidRPr="00C24EA3">
        <w:t xml:space="preserve">Dor Yeshorim. (2019). Standard Ashkenazi Panel. Retrieved from </w:t>
      </w:r>
      <w:hyperlink r:id="rId22" w:history="1">
        <w:r w:rsidRPr="00C24EA3">
          <w:rPr>
            <w:rStyle w:val="Hyperlink"/>
            <w:rFonts w:ascii="Calibri" w:hAnsi="Calibri" w:cs="Calibri"/>
          </w:rPr>
          <w:t>https://doryeshorim.org/tests/</w:t>
        </w:r>
      </w:hyperlink>
    </w:p>
    <w:p w14:paraId="29AA5072" w14:textId="1C000012" w:rsidR="00C24EA3" w:rsidRPr="00C24EA3" w:rsidRDefault="00C24EA3" w:rsidP="00C24EA3">
      <w:pPr>
        <w:pStyle w:val="EndNoteBibliography"/>
        <w:spacing w:after="360"/>
      </w:pPr>
      <w:r w:rsidRPr="00C24EA3">
        <w:lastRenderedPageBreak/>
        <w:t xml:space="preserve">Flanagan, M., &amp; Cunniff, C. M. (2019). Bloom Syndrome. </w:t>
      </w:r>
      <w:r w:rsidRPr="00C24EA3">
        <w:rPr>
          <w:i/>
        </w:rPr>
        <w:t>GeneReviews®.</w:t>
      </w:r>
      <w:r w:rsidRPr="00C24EA3">
        <w:t xml:space="preserve"> Retrieved from </w:t>
      </w:r>
      <w:hyperlink r:id="rId23" w:history="1">
        <w:r w:rsidRPr="00C24EA3">
          <w:rPr>
            <w:rStyle w:val="Hyperlink"/>
            <w:rFonts w:ascii="Calibri" w:hAnsi="Calibri" w:cs="Calibri"/>
          </w:rPr>
          <w:t>https://www.ncbi.nlm.nih.gov/books/NBK1398/</w:t>
        </w:r>
      </w:hyperlink>
    </w:p>
    <w:p w14:paraId="6B7FE731" w14:textId="03E8E49E" w:rsidR="00C24EA3" w:rsidRPr="00C24EA3" w:rsidRDefault="00C24EA3" w:rsidP="00C24EA3">
      <w:pPr>
        <w:pStyle w:val="EndNoteBibliography"/>
        <w:spacing w:after="360"/>
      </w:pPr>
      <w:r w:rsidRPr="00C24EA3">
        <w:t xml:space="preserve">Graham, D., &amp; Narunsky, L. (2019). </w:t>
      </w:r>
      <w:r w:rsidRPr="00C24EA3">
        <w:rPr>
          <w:i/>
        </w:rPr>
        <w:t>The Jewish population of Australia- Key findings from the 2016 census</w:t>
      </w:r>
      <w:r w:rsidRPr="00C24EA3">
        <w:t xml:space="preserve">. Retrieved from Sydney, Australia: </w:t>
      </w:r>
      <w:hyperlink r:id="rId24" w:history="1">
        <w:r w:rsidRPr="00C24EA3">
          <w:rPr>
            <w:rStyle w:val="Hyperlink"/>
            <w:rFonts w:ascii="Calibri" w:hAnsi="Calibri" w:cs="Calibri"/>
          </w:rPr>
          <w:t>https://jca.org.au/wp-content/uploads/2020/06/Census-Report-2016-1.1.pdf</w:t>
        </w:r>
      </w:hyperlink>
    </w:p>
    <w:p w14:paraId="20D4F904" w14:textId="64D6978E" w:rsidR="00C24EA3" w:rsidRPr="00C24EA3" w:rsidRDefault="00C24EA3" w:rsidP="00C24EA3">
      <w:pPr>
        <w:pStyle w:val="EndNoteBibliography"/>
        <w:spacing w:after="360"/>
      </w:pPr>
      <w:r w:rsidRPr="00C24EA3">
        <w:t xml:space="preserve">Hafsi, W., Badri, T., &amp; Rice, A. S. (2020). Bloom Syndrome (Congenital Telangiectatic Erythema) Retrieved from </w:t>
      </w:r>
      <w:hyperlink r:id="rId25" w:history="1">
        <w:r w:rsidRPr="00C24EA3">
          <w:rPr>
            <w:rStyle w:val="Hyperlink"/>
            <w:rFonts w:ascii="Calibri" w:hAnsi="Calibri" w:cs="Calibri"/>
          </w:rPr>
          <w:t>https://www.ncbi.nlm.nih.gov/books/NBK448138/</w:t>
        </w:r>
      </w:hyperlink>
    </w:p>
    <w:p w14:paraId="18C1262A" w14:textId="055AFBED" w:rsidR="00C24EA3" w:rsidRPr="00C24EA3" w:rsidRDefault="00C24EA3" w:rsidP="00C24EA3">
      <w:pPr>
        <w:pStyle w:val="EndNoteBibliography"/>
        <w:spacing w:after="360"/>
      </w:pPr>
      <w:r w:rsidRPr="00C24EA3">
        <w:t xml:space="preserve">HGSA. (2015). </w:t>
      </w:r>
      <w:r w:rsidRPr="00C24EA3">
        <w:rPr>
          <w:i/>
        </w:rPr>
        <w:t>Ashkenazi Jewish Population Screening</w:t>
      </w:r>
      <w:r w:rsidRPr="00C24EA3">
        <w:t xml:space="preserve">. Retrieved from Alexandria, NSW: </w:t>
      </w:r>
      <w:hyperlink r:id="rId26" w:history="1">
        <w:r w:rsidRPr="00C24EA3">
          <w:rPr>
            <w:rStyle w:val="Hyperlink"/>
            <w:rFonts w:ascii="Calibri" w:hAnsi="Calibri" w:cs="Calibri"/>
          </w:rPr>
          <w:t>https://www.hgsa.org.au/documents/item/6092</w:t>
        </w:r>
      </w:hyperlink>
    </w:p>
    <w:p w14:paraId="53D9E08E" w14:textId="77777777" w:rsidR="00C24EA3" w:rsidRPr="00C24EA3" w:rsidRDefault="00C24EA3" w:rsidP="00C24EA3">
      <w:pPr>
        <w:pStyle w:val="EndNoteBibliography"/>
        <w:spacing w:after="360"/>
      </w:pPr>
      <w:r w:rsidRPr="00C24EA3">
        <w:t xml:space="preserve">Jaffe, D. H., Flaks-Manov, N., Benis, A., Gabay, H., DiBonaventura, M., Rosenbaum, H., . . . Leventer-Roberts, M. (2019). Population-based cohort of 500 patients with Gaucher disease in Israel. </w:t>
      </w:r>
      <w:r w:rsidRPr="00C24EA3">
        <w:rPr>
          <w:i/>
        </w:rPr>
        <w:t>BMJ Open, 9</w:t>
      </w:r>
      <w:r w:rsidRPr="00C24EA3">
        <w:t>(1), e024251. doi:10.1136/bmjopen-2018-024251</w:t>
      </w:r>
    </w:p>
    <w:p w14:paraId="5B01BFED" w14:textId="23F963C1" w:rsidR="00C24EA3" w:rsidRPr="00C24EA3" w:rsidRDefault="00C24EA3" w:rsidP="00C24EA3">
      <w:pPr>
        <w:pStyle w:val="EndNoteBibliography"/>
        <w:spacing w:after="360"/>
      </w:pPr>
      <w:r w:rsidRPr="00C24EA3">
        <w:t xml:space="preserve">Kaback, M. M., &amp; Desnick, R. J. (2011). Hexosaminidase A Deficiency. </w:t>
      </w:r>
      <w:r w:rsidRPr="00C24EA3">
        <w:rPr>
          <w:i/>
        </w:rPr>
        <w:t>GeneReviews®.</w:t>
      </w:r>
      <w:r w:rsidRPr="00C24EA3">
        <w:t xml:space="preserve"> Retrieved from </w:t>
      </w:r>
      <w:hyperlink r:id="rId27" w:history="1">
        <w:r w:rsidRPr="00C24EA3">
          <w:rPr>
            <w:rStyle w:val="Hyperlink"/>
            <w:rFonts w:ascii="Calibri" w:hAnsi="Calibri" w:cs="Calibri"/>
          </w:rPr>
          <w:t>https://www.ncbi.nlm.nih.gov/books/NBK1218/pdf/Bookshelf_NBK1218.pdf</w:t>
        </w:r>
      </w:hyperlink>
    </w:p>
    <w:p w14:paraId="00202393" w14:textId="77777777" w:rsidR="00C24EA3" w:rsidRPr="00C24EA3" w:rsidRDefault="00C24EA3" w:rsidP="00C24EA3">
      <w:pPr>
        <w:pStyle w:val="EndNoteBibliography"/>
        <w:spacing w:after="360"/>
      </w:pPr>
      <w:r w:rsidRPr="00C24EA3">
        <w:t xml:space="preserve">Lazarin, G. A., Haque, I. S., Nazareth, S., Iori, K., Patterson, A. S., Jacobson, J. L., . . . Srinivasan, B. S. (2013). An empirical estimate of carrier frequencies for 400+ causal Mendelian variants: results from an ethnically diverse clinical sample of 23,453 individuals. </w:t>
      </w:r>
      <w:r w:rsidRPr="00C24EA3">
        <w:rPr>
          <w:i/>
        </w:rPr>
        <w:t>Genet Med, 15</w:t>
      </w:r>
      <w:r w:rsidRPr="00C24EA3">
        <w:t>(3), 178-186. doi:10.1038/gim.2012.114</w:t>
      </w:r>
    </w:p>
    <w:p w14:paraId="0E5AF7D6" w14:textId="77777777" w:rsidR="00C24EA3" w:rsidRPr="00C24EA3" w:rsidRDefault="00C24EA3" w:rsidP="00C24EA3">
      <w:pPr>
        <w:pStyle w:val="EndNoteBibliography"/>
        <w:spacing w:after="360"/>
      </w:pPr>
      <w:r w:rsidRPr="00C24EA3">
        <w:t xml:space="preserve">Lew, R. M., Burnett, L., Proos, A. L., &amp; Delatycki, M. B. (2015). Tay-Sachs disease: current perspectives from Australia. </w:t>
      </w:r>
      <w:r w:rsidRPr="00C24EA3">
        <w:rPr>
          <w:i/>
        </w:rPr>
        <w:t>Appl Clin Genet, 8</w:t>
      </w:r>
      <w:r w:rsidRPr="00C24EA3">
        <w:t>, 19-25. doi:10.2147/tacg.S49628</w:t>
      </w:r>
    </w:p>
    <w:p w14:paraId="0120623B" w14:textId="77777777" w:rsidR="00C24EA3" w:rsidRPr="00C24EA3" w:rsidRDefault="00C24EA3" w:rsidP="00C24EA3">
      <w:pPr>
        <w:pStyle w:val="EndNoteBibliography"/>
        <w:spacing w:after="360"/>
      </w:pPr>
      <w:r w:rsidRPr="00C24EA3">
        <w:t xml:space="preserve">Lew, R. M., Proos, A. L., Burnett, L., Delatycki, M., Bankier, A., &amp; Fietz, M. J. (2012). Tay Sachs disease in Australia: reduced disease incidence despite stable carrier frequency in Australian Jews. </w:t>
      </w:r>
      <w:r w:rsidRPr="00C24EA3">
        <w:rPr>
          <w:i/>
        </w:rPr>
        <w:t>Med J Aust, 197</w:t>
      </w:r>
      <w:r w:rsidRPr="00C24EA3">
        <w:t>(11), 652-654. doi:10.5694/mja12.11010</w:t>
      </w:r>
    </w:p>
    <w:p w14:paraId="7D1F021D" w14:textId="221D6AD4" w:rsidR="00C24EA3" w:rsidRPr="00C24EA3" w:rsidRDefault="00C24EA3" w:rsidP="00C24EA3">
      <w:pPr>
        <w:pStyle w:val="EndNoteBibliography"/>
        <w:spacing w:after="360"/>
      </w:pPr>
      <w:r w:rsidRPr="00C24EA3">
        <w:t xml:space="preserve">Matalon, R., Delgado, L., &amp; Michals-Matalon, K. (2018). Canavan Disease. </w:t>
      </w:r>
      <w:r w:rsidRPr="00C24EA3">
        <w:rPr>
          <w:i/>
        </w:rPr>
        <w:t>GeneReviews®.</w:t>
      </w:r>
      <w:r w:rsidRPr="00C24EA3">
        <w:t xml:space="preserve"> Retrieved from </w:t>
      </w:r>
      <w:hyperlink r:id="rId28" w:history="1">
        <w:r w:rsidRPr="00C24EA3">
          <w:rPr>
            <w:rStyle w:val="Hyperlink"/>
            <w:rFonts w:ascii="Calibri" w:hAnsi="Calibri" w:cs="Calibri"/>
          </w:rPr>
          <w:t>https://www.ncbi.nlm.nih.gov/books/NBK1234/</w:t>
        </w:r>
      </w:hyperlink>
    </w:p>
    <w:p w14:paraId="215065E4" w14:textId="15D891AE" w:rsidR="00C24EA3" w:rsidRPr="00C24EA3" w:rsidRDefault="00C24EA3" w:rsidP="00C24EA3">
      <w:pPr>
        <w:pStyle w:val="EndNoteBibliography"/>
        <w:spacing w:after="360"/>
      </w:pPr>
      <w:r w:rsidRPr="00C24EA3">
        <w:t xml:space="preserve">Mehta, P. A., &amp; Tolar, J. (2018). Fanconi Anemia. </w:t>
      </w:r>
      <w:r w:rsidRPr="00C24EA3">
        <w:rPr>
          <w:i/>
        </w:rPr>
        <w:t>GeneReviews®.</w:t>
      </w:r>
      <w:r w:rsidRPr="00C24EA3">
        <w:t xml:space="preserve"> Retrieved from </w:t>
      </w:r>
      <w:hyperlink r:id="rId29" w:history="1">
        <w:r w:rsidRPr="00C24EA3">
          <w:rPr>
            <w:rStyle w:val="Hyperlink"/>
            <w:rFonts w:ascii="Calibri" w:hAnsi="Calibri" w:cs="Calibri"/>
          </w:rPr>
          <w:t>https://www.ncbi.nlm.nih.gov/books/NBK1401/</w:t>
        </w:r>
      </w:hyperlink>
    </w:p>
    <w:p w14:paraId="305F009E" w14:textId="3AEB8A68" w:rsidR="00C24EA3" w:rsidRPr="00C24EA3" w:rsidRDefault="00C24EA3" w:rsidP="00C24EA3">
      <w:pPr>
        <w:pStyle w:val="EndNoteBibliography"/>
        <w:spacing w:after="360"/>
      </w:pPr>
      <w:r w:rsidRPr="00C24EA3">
        <w:t xml:space="preserve">NIH. (2008). HEXA gene. </w:t>
      </w:r>
      <w:r w:rsidRPr="00C24EA3">
        <w:rPr>
          <w:i/>
        </w:rPr>
        <w:t>Genetics Home Reference.</w:t>
      </w:r>
      <w:r w:rsidRPr="00C24EA3">
        <w:t xml:space="preserve"> Retrieved from </w:t>
      </w:r>
      <w:hyperlink r:id="rId30" w:anchor="location" w:history="1">
        <w:r w:rsidRPr="00C24EA3">
          <w:rPr>
            <w:rStyle w:val="Hyperlink"/>
            <w:rFonts w:ascii="Calibri" w:hAnsi="Calibri" w:cs="Calibri"/>
          </w:rPr>
          <w:t>https://ghr.nlm.nih.gov/gene/HEXA#location</w:t>
        </w:r>
      </w:hyperlink>
    </w:p>
    <w:p w14:paraId="7F19168E" w14:textId="5CF00D70" w:rsidR="00C24EA3" w:rsidRPr="00C24EA3" w:rsidRDefault="00C24EA3" w:rsidP="00C24EA3">
      <w:pPr>
        <w:pStyle w:val="EndNoteBibliography"/>
        <w:spacing w:after="360"/>
      </w:pPr>
      <w:r w:rsidRPr="00C24EA3">
        <w:t xml:space="preserve">NIH. (2012a). Fanconi anemia. </w:t>
      </w:r>
      <w:r w:rsidRPr="00C24EA3">
        <w:rPr>
          <w:i/>
        </w:rPr>
        <w:t>Genetics Home Reference.</w:t>
      </w:r>
      <w:r w:rsidRPr="00C24EA3">
        <w:t xml:space="preserve"> Retrieved from </w:t>
      </w:r>
      <w:hyperlink r:id="rId31" w:history="1">
        <w:r w:rsidRPr="00C24EA3">
          <w:rPr>
            <w:rStyle w:val="Hyperlink"/>
            <w:rFonts w:ascii="Calibri" w:hAnsi="Calibri" w:cs="Calibri"/>
          </w:rPr>
          <w:t>https://ghr.nlm.nih.gov/condition/fanconi-anemia</w:t>
        </w:r>
      </w:hyperlink>
    </w:p>
    <w:p w14:paraId="6C18CC60" w14:textId="44D3466F" w:rsidR="00C24EA3" w:rsidRPr="00C24EA3" w:rsidRDefault="00C24EA3" w:rsidP="00C24EA3">
      <w:pPr>
        <w:pStyle w:val="EndNoteBibliography"/>
        <w:spacing w:after="360"/>
      </w:pPr>
      <w:r w:rsidRPr="00C24EA3">
        <w:t xml:space="preserve">NIH. (2012b). Tay-Sachs disease. </w:t>
      </w:r>
      <w:r w:rsidRPr="00C24EA3">
        <w:rPr>
          <w:i/>
        </w:rPr>
        <w:t>Genetics Home Reference.</w:t>
      </w:r>
      <w:r w:rsidRPr="00C24EA3">
        <w:t xml:space="preserve"> Retrieved from </w:t>
      </w:r>
      <w:hyperlink r:id="rId32" w:history="1">
        <w:r w:rsidRPr="00C24EA3">
          <w:rPr>
            <w:rStyle w:val="Hyperlink"/>
            <w:rFonts w:ascii="Calibri" w:hAnsi="Calibri" w:cs="Calibri"/>
          </w:rPr>
          <w:t>https://ghr.nlm.nih.gov/condition/tay-sachs-disease</w:t>
        </w:r>
      </w:hyperlink>
    </w:p>
    <w:p w14:paraId="6727CFAB" w14:textId="2070B0F0" w:rsidR="00C24EA3" w:rsidRPr="00C24EA3" w:rsidRDefault="00C24EA3" w:rsidP="00C24EA3">
      <w:pPr>
        <w:pStyle w:val="EndNoteBibliography"/>
        <w:spacing w:after="360"/>
      </w:pPr>
      <w:r w:rsidRPr="00C24EA3">
        <w:t xml:space="preserve">NIH. (2013a). Familial dysautonomia. </w:t>
      </w:r>
      <w:r w:rsidRPr="00C24EA3">
        <w:rPr>
          <w:i/>
        </w:rPr>
        <w:t>Genetics Home Reference.</w:t>
      </w:r>
      <w:r w:rsidRPr="00C24EA3">
        <w:t xml:space="preserve"> Retrieved from </w:t>
      </w:r>
      <w:hyperlink r:id="rId33" w:history="1">
        <w:r w:rsidRPr="00C24EA3">
          <w:rPr>
            <w:rStyle w:val="Hyperlink"/>
            <w:rFonts w:ascii="Calibri" w:hAnsi="Calibri" w:cs="Calibri"/>
          </w:rPr>
          <w:t>https://ghr.nlm.nih.gov/condition/familial-dysautonomia</w:t>
        </w:r>
      </w:hyperlink>
    </w:p>
    <w:p w14:paraId="5E8DDD47" w14:textId="2EA91565" w:rsidR="00C24EA3" w:rsidRPr="00C24EA3" w:rsidRDefault="00C24EA3" w:rsidP="00C24EA3">
      <w:pPr>
        <w:pStyle w:val="EndNoteBibliography"/>
        <w:spacing w:after="360"/>
      </w:pPr>
      <w:r w:rsidRPr="00C24EA3">
        <w:lastRenderedPageBreak/>
        <w:t xml:space="preserve">NIH. (2013b). Mucolipidosis type IV. </w:t>
      </w:r>
      <w:r w:rsidRPr="00C24EA3">
        <w:rPr>
          <w:i/>
        </w:rPr>
        <w:t>Genetics Home Reference.</w:t>
      </w:r>
      <w:r w:rsidRPr="00C24EA3">
        <w:t xml:space="preserve"> Retrieved from </w:t>
      </w:r>
      <w:hyperlink r:id="rId34" w:history="1">
        <w:r w:rsidRPr="00C24EA3">
          <w:rPr>
            <w:rStyle w:val="Hyperlink"/>
            <w:rFonts w:ascii="Calibri" w:hAnsi="Calibri" w:cs="Calibri"/>
          </w:rPr>
          <w:t>https://ghr.nlm.nih.gov/condition/mucolipidosis-type-iv</w:t>
        </w:r>
      </w:hyperlink>
    </w:p>
    <w:p w14:paraId="4C53E030" w14:textId="2478867D" w:rsidR="00C24EA3" w:rsidRPr="00C24EA3" w:rsidRDefault="00C24EA3" w:rsidP="00C24EA3">
      <w:pPr>
        <w:pStyle w:val="EndNoteBibliography"/>
        <w:spacing w:after="360"/>
      </w:pPr>
      <w:r w:rsidRPr="00C24EA3">
        <w:t xml:space="preserve">NIH. (2015a). Bloom syndrome. </w:t>
      </w:r>
      <w:r w:rsidRPr="00C24EA3">
        <w:rPr>
          <w:i/>
        </w:rPr>
        <w:t>Genetics Home Reference.</w:t>
      </w:r>
      <w:r w:rsidRPr="00C24EA3">
        <w:t xml:space="preserve"> Retrieved from </w:t>
      </w:r>
      <w:hyperlink r:id="rId35" w:history="1">
        <w:r w:rsidRPr="00C24EA3">
          <w:rPr>
            <w:rStyle w:val="Hyperlink"/>
            <w:rFonts w:ascii="Calibri" w:hAnsi="Calibri" w:cs="Calibri"/>
          </w:rPr>
          <w:t>https://ghr.nlm.nih.gov/condition/bloom-syndrome</w:t>
        </w:r>
      </w:hyperlink>
    </w:p>
    <w:p w14:paraId="19B8E00A" w14:textId="6480D14E" w:rsidR="00C24EA3" w:rsidRPr="00C24EA3" w:rsidRDefault="00C24EA3" w:rsidP="00C24EA3">
      <w:pPr>
        <w:pStyle w:val="EndNoteBibliography"/>
        <w:spacing w:after="360"/>
      </w:pPr>
      <w:r w:rsidRPr="00C24EA3">
        <w:t xml:space="preserve">NIH. (2015b). Canavan disease. </w:t>
      </w:r>
      <w:r w:rsidRPr="00C24EA3">
        <w:rPr>
          <w:i/>
        </w:rPr>
        <w:t>Genetics Home Reference.</w:t>
      </w:r>
      <w:r w:rsidRPr="00C24EA3">
        <w:t xml:space="preserve"> Retrieved from </w:t>
      </w:r>
      <w:hyperlink r:id="rId36" w:history="1">
        <w:r w:rsidRPr="00C24EA3">
          <w:rPr>
            <w:rStyle w:val="Hyperlink"/>
            <w:rFonts w:ascii="Calibri" w:hAnsi="Calibri" w:cs="Calibri"/>
          </w:rPr>
          <w:t>https://ghr.nlm.nih.gov/condition/canavan-disease</w:t>
        </w:r>
      </w:hyperlink>
    </w:p>
    <w:p w14:paraId="5C2AD5A2" w14:textId="17882189" w:rsidR="00C24EA3" w:rsidRPr="00C24EA3" w:rsidRDefault="00C24EA3" w:rsidP="00C24EA3">
      <w:pPr>
        <w:pStyle w:val="EndNoteBibliography"/>
        <w:spacing w:after="360"/>
      </w:pPr>
      <w:r w:rsidRPr="00C24EA3">
        <w:t xml:space="preserve">NIH. (2015c). Glycogen storage disease type I. </w:t>
      </w:r>
      <w:r w:rsidRPr="00C24EA3">
        <w:rPr>
          <w:i/>
        </w:rPr>
        <w:t>Genetics Home Reference.</w:t>
      </w:r>
      <w:r w:rsidRPr="00C24EA3">
        <w:t xml:space="preserve"> Retrieved from </w:t>
      </w:r>
      <w:hyperlink r:id="rId37" w:history="1">
        <w:r w:rsidRPr="00C24EA3">
          <w:rPr>
            <w:rStyle w:val="Hyperlink"/>
            <w:rFonts w:ascii="Calibri" w:hAnsi="Calibri" w:cs="Calibri"/>
          </w:rPr>
          <w:t>https://ghr.nlm.nih.gov/condition/glycogen-storage-disease-type-i</w:t>
        </w:r>
      </w:hyperlink>
    </w:p>
    <w:p w14:paraId="12ADA513" w14:textId="5DE4CA20" w:rsidR="00C24EA3" w:rsidRPr="00C24EA3" w:rsidRDefault="00C24EA3" w:rsidP="00C24EA3">
      <w:pPr>
        <w:pStyle w:val="EndNoteBibliography"/>
        <w:spacing w:after="360"/>
      </w:pPr>
      <w:r w:rsidRPr="00C24EA3">
        <w:t xml:space="preserve">NIH. (2015d). Niemann-Pick disease. </w:t>
      </w:r>
      <w:r w:rsidRPr="00C24EA3">
        <w:rPr>
          <w:i/>
        </w:rPr>
        <w:t>Genetics Home Reference.</w:t>
      </w:r>
      <w:r w:rsidRPr="00C24EA3">
        <w:t xml:space="preserve"> Retrieved from </w:t>
      </w:r>
      <w:hyperlink r:id="rId38" w:history="1">
        <w:r w:rsidRPr="00C24EA3">
          <w:rPr>
            <w:rStyle w:val="Hyperlink"/>
            <w:rFonts w:ascii="Calibri" w:hAnsi="Calibri" w:cs="Calibri"/>
          </w:rPr>
          <w:t>https://ghr.nlm.nih.gov/condition/niemann-pick-disease</w:t>
        </w:r>
      </w:hyperlink>
    </w:p>
    <w:p w14:paraId="39DE3F50" w14:textId="4F024300" w:rsidR="00C24EA3" w:rsidRPr="00C24EA3" w:rsidRDefault="00C24EA3" w:rsidP="00C24EA3">
      <w:pPr>
        <w:pStyle w:val="EndNoteBibliography"/>
        <w:spacing w:after="360"/>
      </w:pPr>
      <w:r w:rsidRPr="00C24EA3">
        <w:t xml:space="preserve">Pastores, G. M., &amp; Hughes, D. A. (2018). Gaucher Disease. </w:t>
      </w:r>
      <w:r w:rsidRPr="00C24EA3">
        <w:rPr>
          <w:i/>
        </w:rPr>
        <w:t>GeneReviews®.</w:t>
      </w:r>
      <w:r w:rsidRPr="00C24EA3">
        <w:t xml:space="preserve"> Retrieved from </w:t>
      </w:r>
      <w:hyperlink r:id="rId39" w:history="1">
        <w:r w:rsidRPr="00C24EA3">
          <w:rPr>
            <w:rStyle w:val="Hyperlink"/>
            <w:rFonts w:ascii="Calibri" w:hAnsi="Calibri" w:cs="Calibri"/>
          </w:rPr>
          <w:t>https://www.ncbi.nlm.nih.gov/books/NBK1269/</w:t>
        </w:r>
      </w:hyperlink>
    </w:p>
    <w:p w14:paraId="17DCC751" w14:textId="7442A776" w:rsidR="00C24EA3" w:rsidRPr="00C24EA3" w:rsidRDefault="00C24EA3" w:rsidP="00C24EA3">
      <w:pPr>
        <w:pStyle w:val="EndNoteBibliography"/>
        <w:spacing w:after="360"/>
      </w:pPr>
      <w:r w:rsidRPr="00C24EA3">
        <w:t xml:space="preserve">RANZCOG. (2019). Genetic carrier screening. Retrieved from </w:t>
      </w:r>
      <w:hyperlink r:id="rId40" w:history="1">
        <w:r w:rsidRPr="00C24EA3">
          <w:rPr>
            <w:rStyle w:val="Hyperlink"/>
            <w:rFonts w:ascii="Calibri" w:hAnsi="Calibri" w:cs="Calibri"/>
          </w:rPr>
          <w:t>https://ranzcog.edu.au/RANZCOG_SITE/media/RANZCOG-MEDIA/Women%27s%20Health/Statement%20and%20guidelines/Clinical-Obstetrics/Genetic-carrier-screening(C-Obs-63)New-March-2019_1.pdf?ext=.pdf</w:t>
        </w:r>
      </w:hyperlink>
    </w:p>
    <w:p w14:paraId="31C98E9A" w14:textId="43A20C6F" w:rsidR="00C24EA3" w:rsidRPr="00C24EA3" w:rsidRDefault="00C24EA3" w:rsidP="00C24EA3">
      <w:pPr>
        <w:pStyle w:val="EndNoteBibliography"/>
        <w:spacing w:after="360"/>
      </w:pPr>
      <w:r w:rsidRPr="00C24EA3">
        <w:t xml:space="preserve">Schiffmann, R., Grishchuk, Y., &amp; Goldin, E. (2015). Mucolipidosis IV. </w:t>
      </w:r>
      <w:r w:rsidRPr="00C24EA3">
        <w:rPr>
          <w:i/>
        </w:rPr>
        <w:t>GeneReviews®.</w:t>
      </w:r>
      <w:r w:rsidRPr="00C24EA3">
        <w:t xml:space="preserve"> Retrieved from </w:t>
      </w:r>
      <w:hyperlink r:id="rId41" w:history="1">
        <w:r w:rsidRPr="00C24EA3">
          <w:rPr>
            <w:rStyle w:val="Hyperlink"/>
            <w:rFonts w:ascii="Calibri" w:hAnsi="Calibri" w:cs="Calibri"/>
          </w:rPr>
          <w:t>https://www.ncbi.nlm.nih.gov/books/NBK1214/</w:t>
        </w:r>
      </w:hyperlink>
    </w:p>
    <w:p w14:paraId="34A72F5C" w14:textId="4154C625" w:rsidR="00C24EA3" w:rsidRPr="00C24EA3" w:rsidRDefault="00C24EA3" w:rsidP="00C24EA3">
      <w:pPr>
        <w:pStyle w:val="EndNoteBibliography"/>
        <w:spacing w:after="360"/>
      </w:pPr>
      <w:r w:rsidRPr="00C24EA3">
        <w:t xml:space="preserve">Shohat, M., &amp; Weisz Hubshman, M. (2014). Familial Dysautonomia. </w:t>
      </w:r>
      <w:r w:rsidRPr="00C24EA3">
        <w:rPr>
          <w:i/>
        </w:rPr>
        <w:t>GeneReviews®.</w:t>
      </w:r>
      <w:r w:rsidRPr="00C24EA3">
        <w:t xml:space="preserve"> Retrieved from </w:t>
      </w:r>
      <w:hyperlink r:id="rId42" w:history="1">
        <w:r w:rsidRPr="00C24EA3">
          <w:rPr>
            <w:rStyle w:val="Hyperlink"/>
            <w:rFonts w:ascii="Calibri" w:hAnsi="Calibri" w:cs="Calibri"/>
          </w:rPr>
          <w:t>https://www.ncbi.nlm.nih.gov/books/NBK1180/</w:t>
        </w:r>
      </w:hyperlink>
    </w:p>
    <w:p w14:paraId="3E82734A" w14:textId="5D354601" w:rsidR="00C24EA3" w:rsidRPr="00C24EA3" w:rsidRDefault="00C24EA3" w:rsidP="00C24EA3">
      <w:pPr>
        <w:pStyle w:val="EndNoteBibliography"/>
      </w:pPr>
      <w:r w:rsidRPr="00C24EA3">
        <w:t xml:space="preserve">Stepanov, V. A. (2010). Genomes, populations and diseases: ethnic genomics and personalized medicine. </w:t>
      </w:r>
      <w:r w:rsidRPr="00C24EA3">
        <w:rPr>
          <w:i/>
        </w:rPr>
        <w:t>Acta naturae, 2</w:t>
      </w:r>
      <w:r w:rsidRPr="00C24EA3">
        <w:t xml:space="preserve">(4), 15-30. Retrieved from </w:t>
      </w:r>
      <w:hyperlink r:id="rId43" w:history="1">
        <w:r w:rsidRPr="00C24EA3">
          <w:rPr>
            <w:rStyle w:val="Hyperlink"/>
            <w:rFonts w:ascii="Calibri" w:hAnsi="Calibri" w:cs="Calibri"/>
          </w:rPr>
          <w:t>https://pubmed.ncbi.nlm.nih.gov/22649660</w:t>
        </w:r>
      </w:hyperlink>
    </w:p>
    <w:p w14:paraId="2D5E6D74" w14:textId="2369DE26" w:rsidR="00C24EA3" w:rsidRPr="00C24EA3" w:rsidRDefault="002D6303" w:rsidP="00C24EA3">
      <w:pPr>
        <w:pStyle w:val="EndNoteBibliography"/>
        <w:spacing w:after="360"/>
      </w:pPr>
      <w:hyperlink r:id="rId44" w:history="1">
        <w:r w:rsidR="00C24EA3" w:rsidRPr="00C24EA3">
          <w:rPr>
            <w:rStyle w:val="Hyperlink"/>
            <w:rFonts w:ascii="Calibri" w:hAnsi="Calibri" w:cs="Calibri"/>
          </w:rPr>
          <w:t>https://www.ncbi.nlm.nih.gov/pmc/articles/PMC3347589/</w:t>
        </w:r>
      </w:hyperlink>
    </w:p>
    <w:p w14:paraId="15514CD3" w14:textId="77777777" w:rsidR="00C24EA3" w:rsidRPr="00C24EA3" w:rsidRDefault="00C24EA3" w:rsidP="00C24EA3">
      <w:pPr>
        <w:pStyle w:val="EndNoteBibliography"/>
        <w:spacing w:after="360"/>
      </w:pPr>
      <w:r w:rsidRPr="00C24EA3">
        <w:t xml:space="preserve">Stirnemann, J., Belmatoug, N., Camou, F., Serratrice, C., Froissart, R., Caillaud, C., . . . Berger, M. G. (2017). A Review of Gaucher Disease Pathophysiology, Clinical Presentation and Treatments. </w:t>
      </w:r>
      <w:r w:rsidRPr="00C24EA3">
        <w:rPr>
          <w:i/>
        </w:rPr>
        <w:t>Int J Mol Sci, 18</w:t>
      </w:r>
      <w:r w:rsidRPr="00C24EA3">
        <w:t>(2). doi:10.3390/ijms18020441</w:t>
      </w:r>
    </w:p>
    <w:p w14:paraId="1705A431" w14:textId="5CDDB07F" w:rsidR="00C24EA3" w:rsidRPr="00C24EA3" w:rsidRDefault="00C24EA3" w:rsidP="00C24EA3">
      <w:pPr>
        <w:pStyle w:val="EndNoteBibliography"/>
        <w:spacing w:after="360"/>
      </w:pPr>
      <w:r w:rsidRPr="00C24EA3">
        <w:t xml:space="preserve">Wasserstein, M. P., &amp; Schuchman, E. H. (2015). Acid Sphingomyelinase Deficiency. </w:t>
      </w:r>
      <w:r w:rsidRPr="00C24EA3">
        <w:rPr>
          <w:i/>
        </w:rPr>
        <w:t>GeneReviews®.</w:t>
      </w:r>
      <w:r w:rsidRPr="00C24EA3">
        <w:t xml:space="preserve"> Retrieved from </w:t>
      </w:r>
      <w:hyperlink r:id="rId45" w:history="1">
        <w:r w:rsidRPr="00C24EA3">
          <w:rPr>
            <w:rStyle w:val="Hyperlink"/>
            <w:rFonts w:ascii="Calibri" w:hAnsi="Calibri" w:cs="Calibri"/>
          </w:rPr>
          <w:t>https://www.ncbi.nlm.nih.gov/books/NBK1370/</w:t>
        </w:r>
      </w:hyperlink>
    </w:p>
    <w:p w14:paraId="3888B060" w14:textId="77777777" w:rsidR="00C24EA3" w:rsidRPr="00C24EA3" w:rsidRDefault="00C24EA3" w:rsidP="00C24EA3">
      <w:pPr>
        <w:pStyle w:val="EndNoteBibliography"/>
      </w:pPr>
      <w:r w:rsidRPr="00C24EA3">
        <w:t xml:space="preserve">Wilson, R. D., De Bie, I., Armour, C. M., Brown, R. N., Campagnolo, C., Carroll, J. C., . . . Van Karnebeek, C. (2016). Joint SOGC-CCMG Opinion for Reproductive Genetic Carrier Screening: An Update for All Canadian Providers of Maternity and Reproductive Healthcare in the Era of Direct-to-Consumer Testing. </w:t>
      </w:r>
      <w:r w:rsidRPr="00C24EA3">
        <w:rPr>
          <w:i/>
        </w:rPr>
        <w:t>J Obstet Gynaecol Can, 38</w:t>
      </w:r>
      <w:r w:rsidRPr="00C24EA3">
        <w:t>(8), 742-762.e743. doi:10.1016/j.jogc.2016.06.008</w:t>
      </w:r>
    </w:p>
    <w:p w14:paraId="141E7952" w14:textId="19697C87" w:rsidR="00E01349" w:rsidRPr="00E01349" w:rsidRDefault="00550E81" w:rsidP="00E01349">
      <w:r>
        <w:fldChar w:fldCharType="end"/>
      </w:r>
    </w:p>
    <w:sectPr w:rsidR="00E01349" w:rsidRPr="00E01349" w:rsidSect="00AE6FE0">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E0888" w14:textId="77777777" w:rsidR="006C5509" w:rsidRDefault="006C5509" w:rsidP="0016315C">
      <w:pPr>
        <w:spacing w:after="0" w:line="240" w:lineRule="auto"/>
      </w:pPr>
      <w:r>
        <w:separator/>
      </w:r>
    </w:p>
  </w:endnote>
  <w:endnote w:type="continuationSeparator" w:id="0">
    <w:p w14:paraId="13E27F32" w14:textId="77777777" w:rsidR="006C5509" w:rsidRDefault="006C5509" w:rsidP="0016315C">
      <w:pPr>
        <w:spacing w:after="0" w:line="240" w:lineRule="auto"/>
      </w:pPr>
      <w:r>
        <w:continuationSeparator/>
      </w:r>
    </w:p>
  </w:endnote>
  <w:endnote w:type="continuationNotice" w:id="1">
    <w:p w14:paraId="07C70455" w14:textId="77777777" w:rsidR="006C5509" w:rsidRDefault="006C5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2114567"/>
      <w:docPartObj>
        <w:docPartGallery w:val="Page Numbers (Bottom of Page)"/>
        <w:docPartUnique/>
      </w:docPartObj>
    </w:sdtPr>
    <w:sdtEndPr>
      <w:rPr>
        <w:rStyle w:val="PageNumber"/>
      </w:rPr>
    </w:sdtEndPr>
    <w:sdtContent>
      <w:p w14:paraId="2F61D3D2" w14:textId="66E4C48E" w:rsidR="006C5509" w:rsidRDefault="006C5509" w:rsidP="00024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72C2D" w14:textId="77777777" w:rsidR="006C5509" w:rsidRDefault="006C5509"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0AEE" w14:textId="166F2306" w:rsidR="006C5509" w:rsidRPr="00685355" w:rsidRDefault="002D6303" w:rsidP="006C5509">
    <w:pPr>
      <w:pStyle w:val="Footer"/>
      <w:ind w:firstLine="2160"/>
      <w:jc w:val="center"/>
    </w:pPr>
    <w:sdt>
      <w:sdtPr>
        <w:id w:val="-1145736803"/>
        <w:docPartObj>
          <w:docPartGallery w:val="Page Numbers (Bottom of Page)"/>
          <w:docPartUnique/>
        </w:docPartObj>
      </w:sdtPr>
      <w:sdtEndPr>
        <w:rPr>
          <w:noProof/>
        </w:rPr>
      </w:sdtEndPr>
      <w:sdtContent>
        <w:r w:rsidR="006C5509">
          <w:t>Ratified PICO Confirmation - August 2021 PASC meeting</w:t>
        </w:r>
        <w:r w:rsidR="006C5509">
          <w:tab/>
          <w:t xml:space="preserve"> </w:t>
        </w:r>
        <w:r w:rsidR="006C5509">
          <w:fldChar w:fldCharType="begin"/>
        </w:r>
        <w:r w:rsidR="006C5509">
          <w:instrText xml:space="preserve"> PAGE   \* MERGEFORMAT </w:instrText>
        </w:r>
        <w:r w:rsidR="006C5509">
          <w:fldChar w:fldCharType="separate"/>
        </w:r>
        <w:r w:rsidR="006C5509">
          <w:rPr>
            <w:noProof/>
          </w:rPr>
          <w:t>2</w:t>
        </w:r>
        <w:r w:rsidR="006C5509">
          <w:rPr>
            <w:noProof/>
          </w:rPr>
          <w:fldChar w:fldCharType="end"/>
        </w:r>
      </w:sdtContent>
    </w:sdt>
    <w:bookmarkStart w:id="5" w:name="_Hlk95225261"/>
    <w:bookmarkStart w:id="6" w:name="_Hlk95225262"/>
    <w:r w:rsidR="006C5509">
      <w:br/>
      <w:t xml:space="preserve">MSAC Application 1671 – </w:t>
    </w:r>
    <w:bookmarkEnd w:id="5"/>
    <w:bookmarkEnd w:id="6"/>
    <w:r w:rsidR="006C5509">
      <w:t>Targeted carrier testing for severe monogenic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B90C3" w14:textId="77777777" w:rsidR="006C5509" w:rsidRDefault="006C5509" w:rsidP="0016315C">
      <w:pPr>
        <w:spacing w:after="0" w:line="240" w:lineRule="auto"/>
      </w:pPr>
      <w:r>
        <w:separator/>
      </w:r>
    </w:p>
  </w:footnote>
  <w:footnote w:type="continuationSeparator" w:id="0">
    <w:p w14:paraId="7D1E6517" w14:textId="77777777" w:rsidR="006C5509" w:rsidRDefault="006C5509" w:rsidP="0016315C">
      <w:pPr>
        <w:spacing w:after="0" w:line="240" w:lineRule="auto"/>
      </w:pPr>
      <w:r>
        <w:continuationSeparator/>
      </w:r>
    </w:p>
  </w:footnote>
  <w:footnote w:type="continuationNotice" w:id="1">
    <w:p w14:paraId="67A72B97" w14:textId="77777777" w:rsidR="006C5509" w:rsidRDefault="006C5509">
      <w:pPr>
        <w:spacing w:after="0" w:line="240" w:lineRule="auto"/>
      </w:pPr>
    </w:p>
  </w:footnote>
  <w:footnote w:id="2">
    <w:p w14:paraId="5323EA57" w14:textId="2A269C81" w:rsidR="006C5509" w:rsidRDefault="006C5509" w:rsidP="007C3C21">
      <w:pPr>
        <w:pStyle w:val="FootnoteText"/>
      </w:pPr>
      <w:r>
        <w:rPr>
          <w:rStyle w:val="FootnoteReference"/>
        </w:rPr>
        <w:footnoteRef/>
      </w:r>
      <w:r>
        <w:t xml:space="preserve"> </w:t>
      </w:r>
      <w:r w:rsidRPr="000949AB">
        <w:t xml:space="preserve">The majority of Jewish Australians </w:t>
      </w:r>
      <w:r>
        <w:t xml:space="preserve">are of </w:t>
      </w:r>
      <w:r w:rsidRPr="000949AB">
        <w:t>Ashkenazi Jewish ancestry</w:t>
      </w:r>
      <w:r>
        <w:t>, with populations</w:t>
      </w:r>
      <w:r w:rsidRPr="000949AB">
        <w:t xml:space="preserve"> </w:t>
      </w:r>
      <w:r>
        <w:t xml:space="preserve">originating </w:t>
      </w:r>
      <w:r w:rsidRPr="000949AB">
        <w:t>Central and Eastern Europe</w:t>
      </w:r>
      <w:r>
        <w:t xml:space="preserve"> </w:t>
      </w:r>
      <w:r>
        <w:fldChar w:fldCharType="begin"/>
      </w:r>
      <w:r>
        <w:instrText xml:space="preserve"> ADDIN EN.CITE &lt;EndNote&gt;&lt;Cite&gt;&lt;Author&gt;HGSA&lt;/Author&gt;&lt;Year&gt;2015&lt;/Year&gt;&lt;RecNum&gt;4&lt;/RecNum&gt;&lt;DisplayText&gt;(HGSA, 2015)&lt;/DisplayText&gt;&lt;record&gt;&lt;rec-number&gt;4&lt;/rec-number&gt;&lt;foreign-keys&gt;&lt;key app="EN" db-id="tvd2x2aeprp90te22eox9tvxfe2a0xv0tdfs" timestamp="1623373157"&gt;4&lt;/key&gt;&lt;/foreign-keys&gt;&lt;ref-type name="Report"&gt;27&lt;/ref-type&gt;&lt;contributors&gt;&lt;authors&gt;&lt;author&gt;HGSA&lt;/author&gt;&lt;/authors&gt;&lt;secondary-authors&gt;&lt;author&gt;Joint Human Genetics Society  of  Australia,&lt;/author&gt;&lt;author&gt;Royal  Australian  and  New  Zealand  College  of  Obstetricians  and  Gynaecologists Prenatal Diagnosis and Screening Committee,&lt;/author&gt;&lt;/secondary-authors&gt;&lt;tertiary-authors&gt;&lt;author&gt;Human Genetics Society of Australasia&lt;/author&gt;&lt;/tertiary-authors&gt;&lt;/contributors&gt;&lt;titles&gt;&lt;title&gt;Ashkenazi Jewish Population Screening&lt;/title&gt;&lt;/titles&gt;&lt;dates&gt;&lt;year&gt;2015&lt;/year&gt;&lt;/dates&gt;&lt;pub-location&gt;Alexandria, NSW&lt;/pub-location&gt;&lt;urls&gt;&lt;related-urls&gt;&lt;url&gt;https://www.hgsa.org.au/documents/item/6092&lt;/url&gt;&lt;/related-urls&gt;&lt;/urls&gt;&lt;/record&gt;&lt;/Cite&gt;&lt;/EndNote&gt;</w:instrText>
      </w:r>
      <w:r>
        <w:fldChar w:fldCharType="separate"/>
      </w:r>
      <w:r>
        <w:rPr>
          <w:noProof/>
        </w:rPr>
        <w:t>(HGSA, 2015)</w:t>
      </w:r>
      <w:r>
        <w:fldChar w:fldCharType="end"/>
      </w:r>
      <w:r w:rsidRPr="000949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447540B"/>
    <w:multiLevelType w:val="hybridMultilevel"/>
    <w:tmpl w:val="CBD8BE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A43453"/>
    <w:multiLevelType w:val="hybridMultilevel"/>
    <w:tmpl w:val="64242E34"/>
    <w:lvl w:ilvl="0" w:tplc="63F8766A">
      <w:start w:val="5"/>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9C7940"/>
    <w:multiLevelType w:val="hybridMultilevel"/>
    <w:tmpl w:val="9988A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A358B8"/>
    <w:multiLevelType w:val="hybridMultilevel"/>
    <w:tmpl w:val="856E75AA"/>
    <w:lvl w:ilvl="0" w:tplc="6A8C0D6E">
      <w:start w:val="2"/>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A591BAB"/>
    <w:multiLevelType w:val="hybridMultilevel"/>
    <w:tmpl w:val="5032E5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AC31A91"/>
    <w:multiLevelType w:val="hybridMultilevel"/>
    <w:tmpl w:val="A49EF570"/>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0AD65ECA"/>
    <w:multiLevelType w:val="hybridMultilevel"/>
    <w:tmpl w:val="F12A6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0E7A7E9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D4E76C2"/>
    <w:multiLevelType w:val="hybridMultilevel"/>
    <w:tmpl w:val="A3D6BB4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1E83456B"/>
    <w:multiLevelType w:val="hybridMultilevel"/>
    <w:tmpl w:val="B36C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34EA3"/>
    <w:multiLevelType w:val="hybridMultilevel"/>
    <w:tmpl w:val="A31E3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B4738A"/>
    <w:multiLevelType w:val="hybridMultilevel"/>
    <w:tmpl w:val="B0E60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5419B1"/>
    <w:multiLevelType w:val="hybridMultilevel"/>
    <w:tmpl w:val="8118EF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3E2C24"/>
    <w:multiLevelType w:val="hybridMultilevel"/>
    <w:tmpl w:val="1520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3B1853"/>
    <w:multiLevelType w:val="hybridMultilevel"/>
    <w:tmpl w:val="D52EC900"/>
    <w:lvl w:ilvl="0" w:tplc="ABC2BC64">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0717CB"/>
    <w:multiLevelType w:val="hybridMultilevel"/>
    <w:tmpl w:val="F2AC6078"/>
    <w:lvl w:ilvl="0" w:tplc="331AB47E">
      <w:start w:val="1"/>
      <w:numFmt w:val="decimal"/>
      <w:lvlText w:val="%1."/>
      <w:lvlJc w:val="left"/>
      <w:pPr>
        <w:ind w:left="1080" w:hanging="720"/>
      </w:pPr>
      <w:rPr>
        <w:rFonts w:asciiTheme="minorHAnsi" w:eastAsia="Calibri" w:hAnsiTheme="minorHAnsi" w:cstheme="minorHAnsi"/>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30398D"/>
    <w:multiLevelType w:val="hybridMultilevel"/>
    <w:tmpl w:val="23BC4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9355FD"/>
    <w:multiLevelType w:val="hybridMultilevel"/>
    <w:tmpl w:val="2A04320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17">
      <w:start w:val="1"/>
      <w:numFmt w:val="lowerLetter"/>
      <w:lvlText w:val="%3)"/>
      <w:lvlJc w:val="left"/>
      <w:pPr>
        <w:ind w:left="1211"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BD1E24"/>
    <w:multiLevelType w:val="hybridMultilevel"/>
    <w:tmpl w:val="3D2650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682CAD"/>
    <w:multiLevelType w:val="hybridMultilevel"/>
    <w:tmpl w:val="DCAE9E9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5A4BCA"/>
    <w:multiLevelType w:val="hybridMultilevel"/>
    <w:tmpl w:val="A5E83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C45005"/>
    <w:multiLevelType w:val="hybridMultilevel"/>
    <w:tmpl w:val="14CE82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4966063B"/>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4AD808F1"/>
    <w:multiLevelType w:val="hybridMultilevel"/>
    <w:tmpl w:val="E8A8094E"/>
    <w:lvl w:ilvl="0" w:tplc="0C090001">
      <w:start w:val="1"/>
      <w:numFmt w:val="bullet"/>
      <w:lvlText w:val=""/>
      <w:lvlJc w:val="left"/>
      <w:pPr>
        <w:ind w:left="502" w:hanging="360"/>
      </w:pPr>
      <w:rPr>
        <w:rFonts w:ascii="Symbol" w:hAnsi="Symbol" w:hint="default"/>
      </w:rPr>
    </w:lvl>
    <w:lvl w:ilvl="1" w:tplc="4C6418A4">
      <w:numFmt w:val="bullet"/>
      <w:lvlText w:val="•"/>
      <w:lvlJc w:val="left"/>
      <w:pPr>
        <w:ind w:left="862" w:hanging="720"/>
      </w:pPr>
      <w:rPr>
        <w:rFonts w:ascii="Calibri" w:eastAsia="Calibri" w:hAnsi="Calibri" w:cs="Calibri" w:hint="default"/>
      </w:rPr>
    </w:lvl>
    <w:lvl w:ilvl="2" w:tplc="0C090005">
      <w:start w:val="1"/>
      <w:numFmt w:val="bullet"/>
      <w:lvlText w:val=""/>
      <w:lvlJc w:val="left"/>
      <w:pPr>
        <w:ind w:left="927" w:hanging="360"/>
      </w:pPr>
      <w:rPr>
        <w:rFonts w:ascii="Wingdings" w:hAnsi="Wingdings" w:hint="default"/>
      </w:rPr>
    </w:lvl>
    <w:lvl w:ilvl="3" w:tplc="0C090003">
      <w:start w:val="1"/>
      <w:numFmt w:val="bullet"/>
      <w:lvlText w:val="o"/>
      <w:lvlJc w:val="left"/>
      <w:pPr>
        <w:ind w:left="1636" w:hanging="360"/>
      </w:pPr>
      <w:rPr>
        <w:rFonts w:ascii="Courier New" w:hAnsi="Courier New" w:cs="Courier New"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4FC16584"/>
    <w:multiLevelType w:val="hybridMultilevel"/>
    <w:tmpl w:val="98C67B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0F6FAE"/>
    <w:multiLevelType w:val="multilevel"/>
    <w:tmpl w:val="5EDA609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2CE63E9"/>
    <w:multiLevelType w:val="hybridMultilevel"/>
    <w:tmpl w:val="5940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D919F4"/>
    <w:multiLevelType w:val="hybridMultilevel"/>
    <w:tmpl w:val="2444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1F1B1A"/>
    <w:multiLevelType w:val="hybridMultilevel"/>
    <w:tmpl w:val="EBBADB38"/>
    <w:lvl w:ilvl="0" w:tplc="573065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F23244"/>
    <w:multiLevelType w:val="hybridMultilevel"/>
    <w:tmpl w:val="EF8A36EE"/>
    <w:lvl w:ilvl="0" w:tplc="9F1EAFF6">
      <w:start w:val="1"/>
      <w:numFmt w:val="decimal"/>
      <w:lvlText w:val="%1."/>
      <w:lvlJc w:val="left"/>
      <w:pPr>
        <w:ind w:left="786" w:hanging="360"/>
      </w:pPr>
      <w:rPr>
        <w:rFonts w:hint="default"/>
        <w:b w:val="0"/>
        <w:sz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40" w15:restartNumberingAfterBreak="0">
    <w:nsid w:val="569316F4"/>
    <w:multiLevelType w:val="hybridMultilevel"/>
    <w:tmpl w:val="9DF8B3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69D7E74"/>
    <w:multiLevelType w:val="hybridMultilevel"/>
    <w:tmpl w:val="DBE0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80D2CE2"/>
    <w:multiLevelType w:val="hybridMultilevel"/>
    <w:tmpl w:val="313E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82A1E1B"/>
    <w:multiLevelType w:val="hybridMultilevel"/>
    <w:tmpl w:val="3A8A3CB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5B32AC"/>
    <w:multiLevelType w:val="hybridMultilevel"/>
    <w:tmpl w:val="57B2C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A0F30C2"/>
    <w:multiLevelType w:val="hybridMultilevel"/>
    <w:tmpl w:val="5E08F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EC78E4"/>
    <w:multiLevelType w:val="hybridMultilevel"/>
    <w:tmpl w:val="04BC1A96"/>
    <w:lvl w:ilvl="0" w:tplc="85AA5DC6">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F672CB2"/>
    <w:multiLevelType w:val="hybridMultilevel"/>
    <w:tmpl w:val="A9F82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015631"/>
    <w:multiLevelType w:val="hybridMultilevel"/>
    <w:tmpl w:val="40BE30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0061863"/>
    <w:multiLevelType w:val="hybridMultilevel"/>
    <w:tmpl w:val="AD425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1E16DE"/>
    <w:multiLevelType w:val="hybridMultilevel"/>
    <w:tmpl w:val="210E9864"/>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2" w15:restartNumberingAfterBreak="0">
    <w:nsid w:val="60C95369"/>
    <w:multiLevelType w:val="hybridMultilevel"/>
    <w:tmpl w:val="5540EF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1216BAE"/>
    <w:multiLevelType w:val="hybridMultilevel"/>
    <w:tmpl w:val="A11C407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2DA7EB2"/>
    <w:multiLevelType w:val="hybridMultilevel"/>
    <w:tmpl w:val="7BCA94AA"/>
    <w:lvl w:ilvl="0" w:tplc="CAD296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97B6EDA"/>
    <w:multiLevelType w:val="hybridMultilevel"/>
    <w:tmpl w:val="D2A8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D7E41C6"/>
    <w:multiLevelType w:val="hybridMultilevel"/>
    <w:tmpl w:val="84BEF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6D6807"/>
    <w:multiLevelType w:val="hybridMultilevel"/>
    <w:tmpl w:val="65EA3C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089103C"/>
    <w:multiLevelType w:val="hybridMultilevel"/>
    <w:tmpl w:val="F2289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2F020CF"/>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3" w15:restartNumberingAfterBreak="0">
    <w:nsid w:val="74762FEC"/>
    <w:multiLevelType w:val="hybridMultilevel"/>
    <w:tmpl w:val="3AD68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4B62968"/>
    <w:multiLevelType w:val="hybridMultilevel"/>
    <w:tmpl w:val="17E4E47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5" w15:restartNumberingAfterBreak="0">
    <w:nsid w:val="75B43C6B"/>
    <w:multiLevelType w:val="hybridMultilevel"/>
    <w:tmpl w:val="3DFC7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5E51C21"/>
    <w:multiLevelType w:val="hybridMultilevel"/>
    <w:tmpl w:val="13782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63F2CFC"/>
    <w:multiLevelType w:val="hybridMultilevel"/>
    <w:tmpl w:val="DDF46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3B1FFA"/>
    <w:multiLevelType w:val="hybridMultilevel"/>
    <w:tmpl w:val="BBAC47D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B584403"/>
    <w:multiLevelType w:val="hybridMultilevel"/>
    <w:tmpl w:val="CF02325E"/>
    <w:lvl w:ilvl="0" w:tplc="2C66B7C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81449D"/>
    <w:multiLevelType w:val="hybridMultilevel"/>
    <w:tmpl w:val="E2D0E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68"/>
  </w:num>
  <w:num w:numId="4">
    <w:abstractNumId w:val="17"/>
  </w:num>
  <w:num w:numId="5">
    <w:abstractNumId w:val="33"/>
  </w:num>
  <w:num w:numId="6">
    <w:abstractNumId w:val="45"/>
  </w:num>
  <w:num w:numId="7">
    <w:abstractNumId w:val="63"/>
  </w:num>
  <w:num w:numId="8">
    <w:abstractNumId w:val="50"/>
  </w:num>
  <w:num w:numId="9">
    <w:abstractNumId w:val="27"/>
  </w:num>
  <w:num w:numId="10">
    <w:abstractNumId w:val="40"/>
  </w:num>
  <w:num w:numId="11">
    <w:abstractNumId w:val="61"/>
  </w:num>
  <w:num w:numId="12">
    <w:abstractNumId w:val="66"/>
  </w:num>
  <w:num w:numId="13">
    <w:abstractNumId w:val="18"/>
  </w:num>
  <w:num w:numId="14">
    <w:abstractNumId w:val="32"/>
  </w:num>
  <w:num w:numId="15">
    <w:abstractNumId w:val="26"/>
  </w:num>
  <w:num w:numId="16">
    <w:abstractNumId w:val="22"/>
  </w:num>
  <w:num w:numId="17">
    <w:abstractNumId w:val="44"/>
  </w:num>
  <w:num w:numId="18">
    <w:abstractNumId w:val="24"/>
  </w:num>
  <w:num w:numId="19">
    <w:abstractNumId w:val="9"/>
  </w:num>
  <w:num w:numId="20">
    <w:abstractNumId w:val="43"/>
  </w:num>
  <w:num w:numId="21">
    <w:abstractNumId w:val="16"/>
  </w:num>
  <w:num w:numId="22">
    <w:abstractNumId w:val="52"/>
  </w:num>
  <w:num w:numId="23">
    <w:abstractNumId w:val="23"/>
  </w:num>
  <w:num w:numId="24">
    <w:abstractNumId w:val="35"/>
  </w:num>
  <w:num w:numId="25">
    <w:abstractNumId w:val="7"/>
  </w:num>
  <w:num w:numId="26">
    <w:abstractNumId w:val="15"/>
  </w:num>
  <w:num w:numId="27">
    <w:abstractNumId w:val="57"/>
  </w:num>
  <w:num w:numId="28">
    <w:abstractNumId w:val="62"/>
  </w:num>
  <w:num w:numId="29">
    <w:abstractNumId w:val="31"/>
  </w:num>
  <w:num w:numId="30">
    <w:abstractNumId w:val="10"/>
  </w:num>
  <w:num w:numId="31">
    <w:abstractNumId w:val="34"/>
  </w:num>
  <w:num w:numId="32">
    <w:abstractNumId w:val="21"/>
  </w:num>
  <w:num w:numId="33">
    <w:abstractNumId w:val="70"/>
  </w:num>
  <w:num w:numId="34">
    <w:abstractNumId w:val="20"/>
  </w:num>
  <w:num w:numId="35">
    <w:abstractNumId w:val="48"/>
  </w:num>
  <w:num w:numId="36">
    <w:abstractNumId w:val="58"/>
  </w:num>
  <w:num w:numId="37">
    <w:abstractNumId w:val="2"/>
  </w:num>
  <w:num w:numId="38">
    <w:abstractNumId w:val="54"/>
  </w:num>
  <w:num w:numId="39">
    <w:abstractNumId w:val="12"/>
  </w:num>
  <w:num w:numId="40">
    <w:abstractNumId w:val="42"/>
  </w:num>
  <w:num w:numId="41">
    <w:abstractNumId w:val="29"/>
  </w:num>
  <w:num w:numId="42">
    <w:abstractNumId w:val="56"/>
  </w:num>
  <w:num w:numId="43">
    <w:abstractNumId w:val="11"/>
  </w:num>
  <w:num w:numId="44">
    <w:abstractNumId w:val="13"/>
  </w:num>
  <w:num w:numId="45">
    <w:abstractNumId w:val="30"/>
  </w:num>
  <w:num w:numId="46">
    <w:abstractNumId w:val="0"/>
  </w:num>
  <w:num w:numId="47">
    <w:abstractNumId w:val="51"/>
  </w:num>
  <w:num w:numId="48">
    <w:abstractNumId w:val="67"/>
  </w:num>
  <w:num w:numId="49">
    <w:abstractNumId w:val="36"/>
  </w:num>
  <w:num w:numId="50">
    <w:abstractNumId w:val="46"/>
  </w:num>
  <w:num w:numId="51">
    <w:abstractNumId w:val="14"/>
  </w:num>
  <w:num w:numId="52">
    <w:abstractNumId w:val="5"/>
  </w:num>
  <w:num w:numId="53">
    <w:abstractNumId w:val="38"/>
  </w:num>
  <w:num w:numId="54">
    <w:abstractNumId w:val="8"/>
  </w:num>
  <w:num w:numId="55">
    <w:abstractNumId w:val="64"/>
  </w:num>
  <w:num w:numId="56">
    <w:abstractNumId w:val="69"/>
  </w:num>
  <w:num w:numId="57">
    <w:abstractNumId w:val="53"/>
  </w:num>
  <w:num w:numId="58">
    <w:abstractNumId w:val="28"/>
  </w:num>
  <w:num w:numId="59">
    <w:abstractNumId w:val="6"/>
  </w:num>
  <w:num w:numId="60">
    <w:abstractNumId w:val="1"/>
  </w:num>
  <w:num w:numId="61">
    <w:abstractNumId w:val="3"/>
  </w:num>
  <w:num w:numId="62">
    <w:abstractNumId w:val="37"/>
  </w:num>
  <w:num w:numId="63">
    <w:abstractNumId w:val="41"/>
  </w:num>
  <w:num w:numId="64">
    <w:abstractNumId w:val="49"/>
  </w:num>
  <w:num w:numId="65">
    <w:abstractNumId w:val="25"/>
  </w:num>
  <w:num w:numId="66">
    <w:abstractNumId w:val="4"/>
  </w:num>
  <w:num w:numId="67">
    <w:abstractNumId w:val="55"/>
  </w:num>
  <w:num w:numId="68">
    <w:abstractNumId w:val="59"/>
  </w:num>
  <w:num w:numId="69">
    <w:abstractNumId w:val="65"/>
  </w:num>
  <w:num w:numId="70">
    <w:abstractNumId w:val="60"/>
  </w:num>
  <w:num w:numId="71">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MDE3MDOwNDUzNzNS0lEKTi0uzszPAykwqgUAuxJcAS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tvd2x2aeprp90te22eox9tvxfe2a0xv0tdfs&quot;&gt;PICO MonogenicGenes&lt;record-ids&gt;&lt;item&gt;3&lt;/item&gt;&lt;item&gt;4&lt;/item&gt;&lt;item&gt;5&lt;/item&gt;&lt;item&gt;6&lt;/item&gt;&lt;item&gt;7&lt;/item&gt;&lt;item&gt;10&lt;/item&gt;&lt;item&gt;24&lt;/item&gt;&lt;item&gt;26&lt;/item&gt;&lt;item&gt;37&lt;/item&gt;&lt;item&gt;38&lt;/item&gt;&lt;item&gt;39&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9&lt;/item&gt;&lt;item&gt;70&lt;/item&gt;&lt;item&gt;71&lt;/item&gt;&lt;item&gt;79&lt;/item&gt;&lt;item&gt;81&lt;/item&gt;&lt;/record-ids&gt;&lt;/item&gt;&lt;/Libraries&gt;"/>
  </w:docVars>
  <w:rsids>
    <w:rsidRoot w:val="001E5F9C"/>
    <w:rsid w:val="000001DE"/>
    <w:rsid w:val="00002AE8"/>
    <w:rsid w:val="000073AA"/>
    <w:rsid w:val="00007D89"/>
    <w:rsid w:val="000122EC"/>
    <w:rsid w:val="00015F76"/>
    <w:rsid w:val="00020846"/>
    <w:rsid w:val="00022212"/>
    <w:rsid w:val="00024485"/>
    <w:rsid w:val="0002541C"/>
    <w:rsid w:val="0002778D"/>
    <w:rsid w:val="00030081"/>
    <w:rsid w:val="00035AF3"/>
    <w:rsid w:val="000400CF"/>
    <w:rsid w:val="00041FD5"/>
    <w:rsid w:val="0004535A"/>
    <w:rsid w:val="00045702"/>
    <w:rsid w:val="00052481"/>
    <w:rsid w:val="00054A13"/>
    <w:rsid w:val="00055272"/>
    <w:rsid w:val="0005689B"/>
    <w:rsid w:val="0005733B"/>
    <w:rsid w:val="00060C99"/>
    <w:rsid w:val="00067595"/>
    <w:rsid w:val="00070405"/>
    <w:rsid w:val="00082858"/>
    <w:rsid w:val="00083F40"/>
    <w:rsid w:val="000939E0"/>
    <w:rsid w:val="00096B71"/>
    <w:rsid w:val="000A323C"/>
    <w:rsid w:val="000A3242"/>
    <w:rsid w:val="000A3678"/>
    <w:rsid w:val="000B2FC0"/>
    <w:rsid w:val="000B75FB"/>
    <w:rsid w:val="000D1FCF"/>
    <w:rsid w:val="000D2426"/>
    <w:rsid w:val="000D3EA2"/>
    <w:rsid w:val="000D7BD0"/>
    <w:rsid w:val="000E42C9"/>
    <w:rsid w:val="000E623D"/>
    <w:rsid w:val="000F7C35"/>
    <w:rsid w:val="00112A40"/>
    <w:rsid w:val="00115399"/>
    <w:rsid w:val="00120F8A"/>
    <w:rsid w:val="001233FC"/>
    <w:rsid w:val="001253E7"/>
    <w:rsid w:val="00127A86"/>
    <w:rsid w:val="00133D42"/>
    <w:rsid w:val="00135BA9"/>
    <w:rsid w:val="00143391"/>
    <w:rsid w:val="00147600"/>
    <w:rsid w:val="00152080"/>
    <w:rsid w:val="00161727"/>
    <w:rsid w:val="00161B5B"/>
    <w:rsid w:val="0016315C"/>
    <w:rsid w:val="00163CAD"/>
    <w:rsid w:val="00170FCF"/>
    <w:rsid w:val="00173763"/>
    <w:rsid w:val="00173850"/>
    <w:rsid w:val="00176949"/>
    <w:rsid w:val="001844BB"/>
    <w:rsid w:val="0019437E"/>
    <w:rsid w:val="001966FC"/>
    <w:rsid w:val="001A0EED"/>
    <w:rsid w:val="001A4041"/>
    <w:rsid w:val="001A5D2F"/>
    <w:rsid w:val="001A739B"/>
    <w:rsid w:val="001B0EF2"/>
    <w:rsid w:val="001B490C"/>
    <w:rsid w:val="001C093B"/>
    <w:rsid w:val="001C3AA1"/>
    <w:rsid w:val="001D21A5"/>
    <w:rsid w:val="001D247E"/>
    <w:rsid w:val="001E5F9C"/>
    <w:rsid w:val="001F1746"/>
    <w:rsid w:val="001F6806"/>
    <w:rsid w:val="0020327D"/>
    <w:rsid w:val="00206790"/>
    <w:rsid w:val="0022054D"/>
    <w:rsid w:val="00223659"/>
    <w:rsid w:val="00223DD0"/>
    <w:rsid w:val="002254C9"/>
    <w:rsid w:val="00227C16"/>
    <w:rsid w:val="00233B2B"/>
    <w:rsid w:val="00235B21"/>
    <w:rsid w:val="00237E92"/>
    <w:rsid w:val="00241DDE"/>
    <w:rsid w:val="002435CB"/>
    <w:rsid w:val="00244CB5"/>
    <w:rsid w:val="00265863"/>
    <w:rsid w:val="00267810"/>
    <w:rsid w:val="0027068F"/>
    <w:rsid w:val="002716AC"/>
    <w:rsid w:val="0027170F"/>
    <w:rsid w:val="00281C7A"/>
    <w:rsid w:val="002844D5"/>
    <w:rsid w:val="002914CE"/>
    <w:rsid w:val="002944BC"/>
    <w:rsid w:val="002B103E"/>
    <w:rsid w:val="002B4A65"/>
    <w:rsid w:val="002B57D4"/>
    <w:rsid w:val="002B7808"/>
    <w:rsid w:val="002C0318"/>
    <w:rsid w:val="002C7A72"/>
    <w:rsid w:val="002D459F"/>
    <w:rsid w:val="002D4665"/>
    <w:rsid w:val="002D5D59"/>
    <w:rsid w:val="002D6303"/>
    <w:rsid w:val="002D6944"/>
    <w:rsid w:val="002E00BB"/>
    <w:rsid w:val="002E2423"/>
    <w:rsid w:val="002F1C7A"/>
    <w:rsid w:val="002F2D00"/>
    <w:rsid w:val="002F3E40"/>
    <w:rsid w:val="003029AC"/>
    <w:rsid w:val="00303DDA"/>
    <w:rsid w:val="00313582"/>
    <w:rsid w:val="00313B4E"/>
    <w:rsid w:val="003146E7"/>
    <w:rsid w:val="00316040"/>
    <w:rsid w:val="00324EF8"/>
    <w:rsid w:val="00325277"/>
    <w:rsid w:val="003358A6"/>
    <w:rsid w:val="00345E26"/>
    <w:rsid w:val="0034704A"/>
    <w:rsid w:val="00352FC4"/>
    <w:rsid w:val="0035362A"/>
    <w:rsid w:val="00355178"/>
    <w:rsid w:val="00360542"/>
    <w:rsid w:val="003611EF"/>
    <w:rsid w:val="00361A77"/>
    <w:rsid w:val="003657B5"/>
    <w:rsid w:val="00370553"/>
    <w:rsid w:val="00380DAD"/>
    <w:rsid w:val="00381941"/>
    <w:rsid w:val="0038282E"/>
    <w:rsid w:val="003831A7"/>
    <w:rsid w:val="0038462B"/>
    <w:rsid w:val="00386B23"/>
    <w:rsid w:val="00391A22"/>
    <w:rsid w:val="003A1373"/>
    <w:rsid w:val="003B0ABB"/>
    <w:rsid w:val="003B2EF3"/>
    <w:rsid w:val="003B7EA6"/>
    <w:rsid w:val="003C66B9"/>
    <w:rsid w:val="003D5C00"/>
    <w:rsid w:val="003E036F"/>
    <w:rsid w:val="003E736D"/>
    <w:rsid w:val="003F0121"/>
    <w:rsid w:val="003F0A39"/>
    <w:rsid w:val="003F3121"/>
    <w:rsid w:val="003F3832"/>
    <w:rsid w:val="003F4A5D"/>
    <w:rsid w:val="00400C0E"/>
    <w:rsid w:val="00411241"/>
    <w:rsid w:val="00413CBD"/>
    <w:rsid w:val="00414B39"/>
    <w:rsid w:val="00425B8D"/>
    <w:rsid w:val="00427C44"/>
    <w:rsid w:val="004306C0"/>
    <w:rsid w:val="00430C1A"/>
    <w:rsid w:val="00434DD2"/>
    <w:rsid w:val="0045154C"/>
    <w:rsid w:val="0045244C"/>
    <w:rsid w:val="00452E06"/>
    <w:rsid w:val="00455F3F"/>
    <w:rsid w:val="00457C7D"/>
    <w:rsid w:val="00457CBA"/>
    <w:rsid w:val="00457F8E"/>
    <w:rsid w:val="00467098"/>
    <w:rsid w:val="00474C71"/>
    <w:rsid w:val="0048086D"/>
    <w:rsid w:val="00484243"/>
    <w:rsid w:val="00490FBB"/>
    <w:rsid w:val="004959EA"/>
    <w:rsid w:val="00497410"/>
    <w:rsid w:val="004A46AA"/>
    <w:rsid w:val="004A4B94"/>
    <w:rsid w:val="004B214C"/>
    <w:rsid w:val="004B2AC5"/>
    <w:rsid w:val="004B5352"/>
    <w:rsid w:val="004C1E2D"/>
    <w:rsid w:val="004C266D"/>
    <w:rsid w:val="004C2C5E"/>
    <w:rsid w:val="004C7458"/>
    <w:rsid w:val="004D2693"/>
    <w:rsid w:val="004D6E95"/>
    <w:rsid w:val="004E04AE"/>
    <w:rsid w:val="004E3ABF"/>
    <w:rsid w:val="004E45EC"/>
    <w:rsid w:val="004E77A2"/>
    <w:rsid w:val="004E7B8F"/>
    <w:rsid w:val="004F6A20"/>
    <w:rsid w:val="00504C8C"/>
    <w:rsid w:val="00513348"/>
    <w:rsid w:val="005249F0"/>
    <w:rsid w:val="00533ED9"/>
    <w:rsid w:val="00533FD5"/>
    <w:rsid w:val="00534B52"/>
    <w:rsid w:val="00545C20"/>
    <w:rsid w:val="00547B4A"/>
    <w:rsid w:val="00550E81"/>
    <w:rsid w:val="00556800"/>
    <w:rsid w:val="00573E3E"/>
    <w:rsid w:val="00574510"/>
    <w:rsid w:val="005754F3"/>
    <w:rsid w:val="005771DC"/>
    <w:rsid w:val="005825C7"/>
    <w:rsid w:val="00583418"/>
    <w:rsid w:val="00587E58"/>
    <w:rsid w:val="00592719"/>
    <w:rsid w:val="00596D38"/>
    <w:rsid w:val="005B19E0"/>
    <w:rsid w:val="005B1F28"/>
    <w:rsid w:val="005C0F9D"/>
    <w:rsid w:val="005C1E1F"/>
    <w:rsid w:val="005C2577"/>
    <w:rsid w:val="005C357C"/>
    <w:rsid w:val="005C48A3"/>
    <w:rsid w:val="005C5C12"/>
    <w:rsid w:val="005D2938"/>
    <w:rsid w:val="005E0AE1"/>
    <w:rsid w:val="005E11DE"/>
    <w:rsid w:val="005E1AC4"/>
    <w:rsid w:val="005E397F"/>
    <w:rsid w:val="005E3C83"/>
    <w:rsid w:val="005E7D4E"/>
    <w:rsid w:val="005F6399"/>
    <w:rsid w:val="0061134E"/>
    <w:rsid w:val="00617609"/>
    <w:rsid w:val="00622F06"/>
    <w:rsid w:val="00623F05"/>
    <w:rsid w:val="00625AF7"/>
    <w:rsid w:val="0062669B"/>
    <w:rsid w:val="00632B45"/>
    <w:rsid w:val="00633C05"/>
    <w:rsid w:val="006428B8"/>
    <w:rsid w:val="00643AEB"/>
    <w:rsid w:val="006449BF"/>
    <w:rsid w:val="006478E7"/>
    <w:rsid w:val="00651232"/>
    <w:rsid w:val="0065205D"/>
    <w:rsid w:val="00664966"/>
    <w:rsid w:val="006659F6"/>
    <w:rsid w:val="00666B40"/>
    <w:rsid w:val="00667042"/>
    <w:rsid w:val="0067664E"/>
    <w:rsid w:val="006777CB"/>
    <w:rsid w:val="00677AE3"/>
    <w:rsid w:val="00681BA1"/>
    <w:rsid w:val="00682102"/>
    <w:rsid w:val="00682409"/>
    <w:rsid w:val="00685355"/>
    <w:rsid w:val="00686EED"/>
    <w:rsid w:val="0069061B"/>
    <w:rsid w:val="00697BE3"/>
    <w:rsid w:val="006A467F"/>
    <w:rsid w:val="006B0679"/>
    <w:rsid w:val="006B421A"/>
    <w:rsid w:val="006B6366"/>
    <w:rsid w:val="006B7C0D"/>
    <w:rsid w:val="006B7DBF"/>
    <w:rsid w:val="006C4DF5"/>
    <w:rsid w:val="006C5509"/>
    <w:rsid w:val="006C55CE"/>
    <w:rsid w:val="006C76CD"/>
    <w:rsid w:val="006C77F2"/>
    <w:rsid w:val="006D216D"/>
    <w:rsid w:val="006E4B60"/>
    <w:rsid w:val="006F01C4"/>
    <w:rsid w:val="006F60F3"/>
    <w:rsid w:val="00703165"/>
    <w:rsid w:val="0071052D"/>
    <w:rsid w:val="00713728"/>
    <w:rsid w:val="00717443"/>
    <w:rsid w:val="00725878"/>
    <w:rsid w:val="00727A18"/>
    <w:rsid w:val="007322CE"/>
    <w:rsid w:val="00732B57"/>
    <w:rsid w:val="00736C3F"/>
    <w:rsid w:val="00740FA7"/>
    <w:rsid w:val="00742F9F"/>
    <w:rsid w:val="007448FF"/>
    <w:rsid w:val="0075241A"/>
    <w:rsid w:val="007537CA"/>
    <w:rsid w:val="0076740E"/>
    <w:rsid w:val="007728E1"/>
    <w:rsid w:val="00773A52"/>
    <w:rsid w:val="00773C4D"/>
    <w:rsid w:val="007757A7"/>
    <w:rsid w:val="007775AD"/>
    <w:rsid w:val="00781C56"/>
    <w:rsid w:val="00791881"/>
    <w:rsid w:val="007A3425"/>
    <w:rsid w:val="007A6019"/>
    <w:rsid w:val="007A66C8"/>
    <w:rsid w:val="007B0667"/>
    <w:rsid w:val="007B2D20"/>
    <w:rsid w:val="007C1E20"/>
    <w:rsid w:val="007C3C21"/>
    <w:rsid w:val="007C3EAF"/>
    <w:rsid w:val="007D6B83"/>
    <w:rsid w:val="007E158B"/>
    <w:rsid w:val="007E1E27"/>
    <w:rsid w:val="007F43A7"/>
    <w:rsid w:val="008054C5"/>
    <w:rsid w:val="008063E4"/>
    <w:rsid w:val="008100D4"/>
    <w:rsid w:val="00821137"/>
    <w:rsid w:val="00822B91"/>
    <w:rsid w:val="0082505C"/>
    <w:rsid w:val="00833185"/>
    <w:rsid w:val="008349BA"/>
    <w:rsid w:val="00836908"/>
    <w:rsid w:val="00840E11"/>
    <w:rsid w:val="00843E2A"/>
    <w:rsid w:val="00845A1E"/>
    <w:rsid w:val="0084675D"/>
    <w:rsid w:val="0085133F"/>
    <w:rsid w:val="00853D39"/>
    <w:rsid w:val="00855184"/>
    <w:rsid w:val="00863D62"/>
    <w:rsid w:val="00870DB1"/>
    <w:rsid w:val="00871FD9"/>
    <w:rsid w:val="00874211"/>
    <w:rsid w:val="00885873"/>
    <w:rsid w:val="00891488"/>
    <w:rsid w:val="008B1E2F"/>
    <w:rsid w:val="008C09F8"/>
    <w:rsid w:val="008C40FD"/>
    <w:rsid w:val="008C4B3C"/>
    <w:rsid w:val="008C63E0"/>
    <w:rsid w:val="008C774B"/>
    <w:rsid w:val="008D4C6A"/>
    <w:rsid w:val="008D7EC4"/>
    <w:rsid w:val="008F1532"/>
    <w:rsid w:val="008F197F"/>
    <w:rsid w:val="008F476E"/>
    <w:rsid w:val="008F55D4"/>
    <w:rsid w:val="008F5D03"/>
    <w:rsid w:val="008F63E3"/>
    <w:rsid w:val="008F789A"/>
    <w:rsid w:val="00906778"/>
    <w:rsid w:val="00907004"/>
    <w:rsid w:val="00910728"/>
    <w:rsid w:val="00912660"/>
    <w:rsid w:val="009131AD"/>
    <w:rsid w:val="0093211F"/>
    <w:rsid w:val="00932967"/>
    <w:rsid w:val="00933860"/>
    <w:rsid w:val="009357D7"/>
    <w:rsid w:val="00936EDB"/>
    <w:rsid w:val="00937A50"/>
    <w:rsid w:val="00941303"/>
    <w:rsid w:val="0094192D"/>
    <w:rsid w:val="00941FE1"/>
    <w:rsid w:val="009546E9"/>
    <w:rsid w:val="00954895"/>
    <w:rsid w:val="009579DA"/>
    <w:rsid w:val="00962F37"/>
    <w:rsid w:val="00962FBA"/>
    <w:rsid w:val="009719D1"/>
    <w:rsid w:val="009759F7"/>
    <w:rsid w:val="00976A5D"/>
    <w:rsid w:val="00985B68"/>
    <w:rsid w:val="00991EEE"/>
    <w:rsid w:val="00992B48"/>
    <w:rsid w:val="00993538"/>
    <w:rsid w:val="009A0590"/>
    <w:rsid w:val="009A3223"/>
    <w:rsid w:val="009A3453"/>
    <w:rsid w:val="009A5AE2"/>
    <w:rsid w:val="009A7116"/>
    <w:rsid w:val="009A7FDF"/>
    <w:rsid w:val="009B1AB8"/>
    <w:rsid w:val="009B31CC"/>
    <w:rsid w:val="009B791F"/>
    <w:rsid w:val="009C1679"/>
    <w:rsid w:val="009C4AF2"/>
    <w:rsid w:val="009C55C0"/>
    <w:rsid w:val="009C687F"/>
    <w:rsid w:val="009D23FD"/>
    <w:rsid w:val="009D3EFA"/>
    <w:rsid w:val="009D4644"/>
    <w:rsid w:val="009E2BC3"/>
    <w:rsid w:val="009E39A6"/>
    <w:rsid w:val="009E60F6"/>
    <w:rsid w:val="009E7EF5"/>
    <w:rsid w:val="009F69B3"/>
    <w:rsid w:val="009F7669"/>
    <w:rsid w:val="00A02F88"/>
    <w:rsid w:val="00A05564"/>
    <w:rsid w:val="00A10275"/>
    <w:rsid w:val="00A16B90"/>
    <w:rsid w:val="00A17B3E"/>
    <w:rsid w:val="00A20CF9"/>
    <w:rsid w:val="00A21BC0"/>
    <w:rsid w:val="00A251A5"/>
    <w:rsid w:val="00A31804"/>
    <w:rsid w:val="00A3203B"/>
    <w:rsid w:val="00A33126"/>
    <w:rsid w:val="00A34F16"/>
    <w:rsid w:val="00A36B9C"/>
    <w:rsid w:val="00A37ED1"/>
    <w:rsid w:val="00A52CA4"/>
    <w:rsid w:val="00A62163"/>
    <w:rsid w:val="00A65B04"/>
    <w:rsid w:val="00A70ECF"/>
    <w:rsid w:val="00A71C1A"/>
    <w:rsid w:val="00A7456B"/>
    <w:rsid w:val="00A76ED0"/>
    <w:rsid w:val="00A77FE6"/>
    <w:rsid w:val="00A80F90"/>
    <w:rsid w:val="00A8117D"/>
    <w:rsid w:val="00A8606D"/>
    <w:rsid w:val="00A86D9F"/>
    <w:rsid w:val="00AA498C"/>
    <w:rsid w:val="00AA557B"/>
    <w:rsid w:val="00AB24D8"/>
    <w:rsid w:val="00AB3CC3"/>
    <w:rsid w:val="00AB7B49"/>
    <w:rsid w:val="00AC0BB5"/>
    <w:rsid w:val="00AC0C07"/>
    <w:rsid w:val="00AC0E24"/>
    <w:rsid w:val="00AC28C6"/>
    <w:rsid w:val="00AC4319"/>
    <w:rsid w:val="00AC6893"/>
    <w:rsid w:val="00AC6FD2"/>
    <w:rsid w:val="00AC757C"/>
    <w:rsid w:val="00AC7BB8"/>
    <w:rsid w:val="00AD0A65"/>
    <w:rsid w:val="00AD29F2"/>
    <w:rsid w:val="00AE2363"/>
    <w:rsid w:val="00AE3E25"/>
    <w:rsid w:val="00AE50CC"/>
    <w:rsid w:val="00AE6FE0"/>
    <w:rsid w:val="00AE7B05"/>
    <w:rsid w:val="00AF4E40"/>
    <w:rsid w:val="00AF6211"/>
    <w:rsid w:val="00B02A65"/>
    <w:rsid w:val="00B02BB0"/>
    <w:rsid w:val="00B03EAA"/>
    <w:rsid w:val="00B05520"/>
    <w:rsid w:val="00B110C7"/>
    <w:rsid w:val="00B1597A"/>
    <w:rsid w:val="00B17B75"/>
    <w:rsid w:val="00B21827"/>
    <w:rsid w:val="00B22205"/>
    <w:rsid w:val="00B228F7"/>
    <w:rsid w:val="00B22B6D"/>
    <w:rsid w:val="00B26526"/>
    <w:rsid w:val="00B303DB"/>
    <w:rsid w:val="00B33AA8"/>
    <w:rsid w:val="00B3581B"/>
    <w:rsid w:val="00B40D7D"/>
    <w:rsid w:val="00B51088"/>
    <w:rsid w:val="00B51CB2"/>
    <w:rsid w:val="00B538B5"/>
    <w:rsid w:val="00B61719"/>
    <w:rsid w:val="00B62EEB"/>
    <w:rsid w:val="00B63DFA"/>
    <w:rsid w:val="00B82A03"/>
    <w:rsid w:val="00B90154"/>
    <w:rsid w:val="00B90DC7"/>
    <w:rsid w:val="00B9530E"/>
    <w:rsid w:val="00BA3507"/>
    <w:rsid w:val="00BB1698"/>
    <w:rsid w:val="00BB3207"/>
    <w:rsid w:val="00BB43A1"/>
    <w:rsid w:val="00BB4EF6"/>
    <w:rsid w:val="00BB5615"/>
    <w:rsid w:val="00BB7512"/>
    <w:rsid w:val="00BB78F7"/>
    <w:rsid w:val="00BC0350"/>
    <w:rsid w:val="00BC0B81"/>
    <w:rsid w:val="00BC1BCD"/>
    <w:rsid w:val="00BD033B"/>
    <w:rsid w:val="00BE0A44"/>
    <w:rsid w:val="00BE11A7"/>
    <w:rsid w:val="00BE34F1"/>
    <w:rsid w:val="00BE7E43"/>
    <w:rsid w:val="00C045B3"/>
    <w:rsid w:val="00C07BC5"/>
    <w:rsid w:val="00C22EDD"/>
    <w:rsid w:val="00C23C90"/>
    <w:rsid w:val="00C24EA3"/>
    <w:rsid w:val="00C255D0"/>
    <w:rsid w:val="00C277F7"/>
    <w:rsid w:val="00C30F0A"/>
    <w:rsid w:val="00C3431A"/>
    <w:rsid w:val="00C34859"/>
    <w:rsid w:val="00C357C0"/>
    <w:rsid w:val="00C406F7"/>
    <w:rsid w:val="00C40CC4"/>
    <w:rsid w:val="00C44302"/>
    <w:rsid w:val="00C456A1"/>
    <w:rsid w:val="00C4742A"/>
    <w:rsid w:val="00C515B7"/>
    <w:rsid w:val="00C54349"/>
    <w:rsid w:val="00C553BA"/>
    <w:rsid w:val="00C600B4"/>
    <w:rsid w:val="00C64757"/>
    <w:rsid w:val="00C64764"/>
    <w:rsid w:val="00C704B6"/>
    <w:rsid w:val="00C737C0"/>
    <w:rsid w:val="00C8457A"/>
    <w:rsid w:val="00C84E1A"/>
    <w:rsid w:val="00C85006"/>
    <w:rsid w:val="00CA18A3"/>
    <w:rsid w:val="00CB075C"/>
    <w:rsid w:val="00CC3A85"/>
    <w:rsid w:val="00CC3EBF"/>
    <w:rsid w:val="00CC5650"/>
    <w:rsid w:val="00CD0F37"/>
    <w:rsid w:val="00CD2E26"/>
    <w:rsid w:val="00CD78E0"/>
    <w:rsid w:val="00CE1B13"/>
    <w:rsid w:val="00CF3972"/>
    <w:rsid w:val="00D02371"/>
    <w:rsid w:val="00D02665"/>
    <w:rsid w:val="00D033B5"/>
    <w:rsid w:val="00D03E29"/>
    <w:rsid w:val="00D069CD"/>
    <w:rsid w:val="00D071FF"/>
    <w:rsid w:val="00D10638"/>
    <w:rsid w:val="00D109C3"/>
    <w:rsid w:val="00D13A26"/>
    <w:rsid w:val="00D14600"/>
    <w:rsid w:val="00D16375"/>
    <w:rsid w:val="00D17FCA"/>
    <w:rsid w:val="00D220AB"/>
    <w:rsid w:val="00D2365B"/>
    <w:rsid w:val="00D239AE"/>
    <w:rsid w:val="00D2670B"/>
    <w:rsid w:val="00D33DA0"/>
    <w:rsid w:val="00D35779"/>
    <w:rsid w:val="00D3682B"/>
    <w:rsid w:val="00D37A3F"/>
    <w:rsid w:val="00D42678"/>
    <w:rsid w:val="00D441CC"/>
    <w:rsid w:val="00D51C77"/>
    <w:rsid w:val="00D5211E"/>
    <w:rsid w:val="00D52956"/>
    <w:rsid w:val="00D54AF5"/>
    <w:rsid w:val="00D55BBD"/>
    <w:rsid w:val="00D603BC"/>
    <w:rsid w:val="00D73332"/>
    <w:rsid w:val="00D7355B"/>
    <w:rsid w:val="00D77C9B"/>
    <w:rsid w:val="00D83062"/>
    <w:rsid w:val="00D8346F"/>
    <w:rsid w:val="00D84E12"/>
    <w:rsid w:val="00D85150"/>
    <w:rsid w:val="00D867D5"/>
    <w:rsid w:val="00D867FB"/>
    <w:rsid w:val="00D8692F"/>
    <w:rsid w:val="00D96AD9"/>
    <w:rsid w:val="00D97E94"/>
    <w:rsid w:val="00DA10BB"/>
    <w:rsid w:val="00DA2C50"/>
    <w:rsid w:val="00DA65BA"/>
    <w:rsid w:val="00DA7DCE"/>
    <w:rsid w:val="00DB2F42"/>
    <w:rsid w:val="00DB35F3"/>
    <w:rsid w:val="00DB3B10"/>
    <w:rsid w:val="00DB539A"/>
    <w:rsid w:val="00DC1BEC"/>
    <w:rsid w:val="00DC42AD"/>
    <w:rsid w:val="00DC616A"/>
    <w:rsid w:val="00DD47E8"/>
    <w:rsid w:val="00DE1A63"/>
    <w:rsid w:val="00DE6D10"/>
    <w:rsid w:val="00DE762F"/>
    <w:rsid w:val="00DF0C5B"/>
    <w:rsid w:val="00DF6301"/>
    <w:rsid w:val="00E01349"/>
    <w:rsid w:val="00E0238F"/>
    <w:rsid w:val="00E03982"/>
    <w:rsid w:val="00E0471C"/>
    <w:rsid w:val="00E05347"/>
    <w:rsid w:val="00E06422"/>
    <w:rsid w:val="00E117E0"/>
    <w:rsid w:val="00E135CB"/>
    <w:rsid w:val="00E1397A"/>
    <w:rsid w:val="00E15C6E"/>
    <w:rsid w:val="00E2296E"/>
    <w:rsid w:val="00E22FE9"/>
    <w:rsid w:val="00E24A6C"/>
    <w:rsid w:val="00E32EFA"/>
    <w:rsid w:val="00E37878"/>
    <w:rsid w:val="00E470B0"/>
    <w:rsid w:val="00E51301"/>
    <w:rsid w:val="00E607F3"/>
    <w:rsid w:val="00E65236"/>
    <w:rsid w:val="00E66C95"/>
    <w:rsid w:val="00E7318C"/>
    <w:rsid w:val="00E822DA"/>
    <w:rsid w:val="00E90162"/>
    <w:rsid w:val="00E96718"/>
    <w:rsid w:val="00EA1D10"/>
    <w:rsid w:val="00EA7A49"/>
    <w:rsid w:val="00EB21C8"/>
    <w:rsid w:val="00EC2B07"/>
    <w:rsid w:val="00EC5865"/>
    <w:rsid w:val="00EC5E51"/>
    <w:rsid w:val="00ED68AA"/>
    <w:rsid w:val="00EE0D7A"/>
    <w:rsid w:val="00EE3B8B"/>
    <w:rsid w:val="00EE65D2"/>
    <w:rsid w:val="00EF2FFF"/>
    <w:rsid w:val="00EF3352"/>
    <w:rsid w:val="00EF548F"/>
    <w:rsid w:val="00EF60B2"/>
    <w:rsid w:val="00EF6F92"/>
    <w:rsid w:val="00EF7CC0"/>
    <w:rsid w:val="00F02EFA"/>
    <w:rsid w:val="00F12713"/>
    <w:rsid w:val="00F2073A"/>
    <w:rsid w:val="00F2289C"/>
    <w:rsid w:val="00F23F79"/>
    <w:rsid w:val="00F522A3"/>
    <w:rsid w:val="00F5698D"/>
    <w:rsid w:val="00F6144E"/>
    <w:rsid w:val="00F660E8"/>
    <w:rsid w:val="00F70808"/>
    <w:rsid w:val="00F71F53"/>
    <w:rsid w:val="00F72747"/>
    <w:rsid w:val="00F728BB"/>
    <w:rsid w:val="00F77808"/>
    <w:rsid w:val="00F77BD8"/>
    <w:rsid w:val="00F84B1C"/>
    <w:rsid w:val="00F84F07"/>
    <w:rsid w:val="00F93281"/>
    <w:rsid w:val="00F93E5A"/>
    <w:rsid w:val="00FA19D7"/>
    <w:rsid w:val="00FA58C2"/>
    <w:rsid w:val="00FA612D"/>
    <w:rsid w:val="00FA66D0"/>
    <w:rsid w:val="00FB2DEE"/>
    <w:rsid w:val="00FC59E2"/>
    <w:rsid w:val="00FC6AA5"/>
    <w:rsid w:val="00FC7F18"/>
    <w:rsid w:val="00FD2326"/>
    <w:rsid w:val="00FD4C65"/>
    <w:rsid w:val="00FD4D72"/>
    <w:rsid w:val="00FD4E33"/>
    <w:rsid w:val="00FD6C4D"/>
    <w:rsid w:val="00FD7D66"/>
    <w:rsid w:val="00FE118A"/>
    <w:rsid w:val="00FE2409"/>
    <w:rsid w:val="00FE781A"/>
    <w:rsid w:val="00FF1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8F"/>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uiPriority w:val="35"/>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3C66B9"/>
    <w:pPr>
      <w:numPr>
        <w:numId w:val="1"/>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uiPriority w:val="99"/>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uiPriority w:val="99"/>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Emphasis">
    <w:name w:val="Emphasis"/>
    <w:basedOn w:val="DefaultParagraphFont"/>
    <w:uiPriority w:val="20"/>
    <w:qFormat/>
    <w:rsid w:val="004C266D"/>
    <w:rPr>
      <w:i/>
      <w:iCs/>
    </w:rPr>
  </w:style>
  <w:style w:type="paragraph" w:customStyle="1" w:styleId="Sub-Title">
    <w:name w:val="Sub-Title"/>
    <w:basedOn w:val="Normal"/>
    <w:rsid w:val="003B2EF3"/>
    <w:pPr>
      <w:spacing w:after="240" w:line="240" w:lineRule="auto"/>
      <w:ind w:left="720"/>
      <w:jc w:val="right"/>
    </w:pPr>
    <w:rPr>
      <w:rFonts w:ascii="Arial" w:eastAsia="Times New Roman" w:hAnsi="Arial"/>
      <w:b/>
      <w:color w:val="000000"/>
      <w:sz w:val="40"/>
      <w:szCs w:val="20"/>
      <w:lang w:eastAsia="en-AU"/>
    </w:rPr>
  </w:style>
  <w:style w:type="paragraph" w:styleId="NormalWeb">
    <w:name w:val="Normal (Web)"/>
    <w:basedOn w:val="Normal"/>
    <w:uiPriority w:val="99"/>
    <w:unhideWhenUsed/>
    <w:rsid w:val="003B2EF3"/>
    <w:pPr>
      <w:spacing w:before="100" w:beforeAutospacing="1" w:after="100" w:afterAutospacing="1" w:line="240" w:lineRule="auto"/>
    </w:pPr>
    <w:rPr>
      <w:rFonts w:ascii="Times New Roman" w:eastAsiaTheme="minorEastAsia" w:hAnsi="Times New Roman"/>
      <w:sz w:val="24"/>
      <w:szCs w:val="24"/>
      <w:lang w:eastAsia="en-AU"/>
    </w:rPr>
  </w:style>
  <w:style w:type="paragraph" w:styleId="FootnoteText">
    <w:name w:val="footnote text"/>
    <w:basedOn w:val="Normal"/>
    <w:link w:val="FootnoteTextChar"/>
    <w:uiPriority w:val="99"/>
    <w:unhideWhenUsed/>
    <w:rsid w:val="003B2EF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B2EF3"/>
    <w:rPr>
      <w:sz w:val="20"/>
      <w:szCs w:val="20"/>
    </w:rPr>
  </w:style>
  <w:style w:type="character" w:styleId="FootnoteReference">
    <w:name w:val="footnote reference"/>
    <w:basedOn w:val="DefaultParagraphFont"/>
    <w:uiPriority w:val="99"/>
    <w:semiHidden/>
    <w:unhideWhenUsed/>
    <w:rsid w:val="003B2EF3"/>
    <w:rPr>
      <w:vertAlign w:val="superscript"/>
    </w:rPr>
  </w:style>
  <w:style w:type="character" w:customStyle="1" w:styleId="genesymbol">
    <w:name w:val="genesymbol"/>
    <w:basedOn w:val="DefaultParagraphFont"/>
    <w:rsid w:val="003B2EF3"/>
  </w:style>
  <w:style w:type="paragraph" w:styleId="NoSpacing">
    <w:name w:val="No Spacing"/>
    <w:uiPriority w:val="1"/>
    <w:qFormat/>
    <w:rsid w:val="003B2EF3"/>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3B2EF3"/>
    <w:pPr>
      <w:spacing w:before="3360" w:after="360" w:line="240" w:lineRule="auto"/>
      <w:jc w:val="center"/>
    </w:pPr>
    <w:rPr>
      <w:rFonts w:ascii="Arial" w:eastAsiaTheme="minorHAnsi" w:hAnsi="Arial" w:cs="Arial"/>
      <w:b/>
      <w:sz w:val="52"/>
      <w:szCs w:val="52"/>
    </w:rPr>
  </w:style>
  <w:style w:type="character" w:customStyle="1" w:styleId="TitleChar">
    <w:name w:val="Title Char"/>
    <w:basedOn w:val="DefaultParagraphFont"/>
    <w:link w:val="Title"/>
    <w:uiPriority w:val="10"/>
    <w:rsid w:val="003B2EF3"/>
    <w:rPr>
      <w:rFonts w:ascii="Arial" w:hAnsi="Arial" w:cs="Arial"/>
      <w:b/>
      <w:sz w:val="52"/>
      <w:szCs w:val="52"/>
    </w:rPr>
  </w:style>
  <w:style w:type="character" w:styleId="Strong">
    <w:name w:val="Strong"/>
    <w:uiPriority w:val="22"/>
    <w:qFormat/>
    <w:rsid w:val="003B2EF3"/>
    <w:rPr>
      <w:rFonts w:ascii="Calibri" w:eastAsia="Calibri" w:hAnsi="Calibri" w:cs="Times New Roman"/>
      <w:b/>
    </w:rPr>
  </w:style>
  <w:style w:type="paragraph" w:customStyle="1" w:styleId="TableHEADER">
    <w:name w:val="Table HEADER"/>
    <w:basedOn w:val="Normal"/>
    <w:qFormat/>
    <w:rsid w:val="003B2EF3"/>
    <w:pPr>
      <w:spacing w:before="120" w:after="120" w:line="240" w:lineRule="auto"/>
      <w:ind w:right="82"/>
    </w:pPr>
    <w:rPr>
      <w:rFonts w:eastAsiaTheme="minorHAnsi" w:cs="Tahoma"/>
      <w:b/>
      <w:sz w:val="20"/>
      <w:szCs w:val="20"/>
      <w:lang w:eastAsia="en-AU"/>
    </w:rPr>
  </w:style>
  <w:style w:type="character" w:styleId="IntenseReference">
    <w:name w:val="Intense Reference"/>
    <w:uiPriority w:val="32"/>
    <w:qFormat/>
    <w:rsid w:val="003B2EF3"/>
    <w:rPr>
      <w:rFonts w:asciiTheme="minorHAnsi" w:hAnsiTheme="minorHAnsi"/>
      <w:sz w:val="28"/>
    </w:rPr>
  </w:style>
  <w:style w:type="character" w:styleId="PlaceholderText">
    <w:name w:val="Placeholder Text"/>
    <w:basedOn w:val="DefaultParagraphFont"/>
    <w:uiPriority w:val="99"/>
    <w:semiHidden/>
    <w:rsid w:val="003B2EF3"/>
    <w:rPr>
      <w:color w:val="808080"/>
    </w:rPr>
  </w:style>
  <w:style w:type="paragraph" w:customStyle="1" w:styleId="TitleBlue">
    <w:name w:val="Title Blue"/>
    <w:basedOn w:val="Title"/>
    <w:qFormat/>
    <w:rsid w:val="003B2EF3"/>
    <w:pPr>
      <w:spacing w:before="360"/>
    </w:pPr>
    <w:rPr>
      <w:color w:val="8496B0" w:themeColor="text2" w:themeTint="99"/>
    </w:rPr>
  </w:style>
  <w:style w:type="character" w:customStyle="1" w:styleId="UnresolvedMention1">
    <w:name w:val="Unresolved Mention1"/>
    <w:basedOn w:val="DefaultParagraphFont"/>
    <w:uiPriority w:val="99"/>
    <w:semiHidden/>
    <w:unhideWhenUsed/>
    <w:rsid w:val="003B2EF3"/>
    <w:rPr>
      <w:color w:val="605E5C"/>
      <w:shd w:val="clear" w:color="auto" w:fill="E1DFDD"/>
    </w:rPr>
  </w:style>
  <w:style w:type="paragraph" w:customStyle="1" w:styleId="TableHeading0">
    <w:name w:val="Table Heading"/>
    <w:basedOn w:val="TableText0"/>
    <w:next w:val="TableText0"/>
    <w:uiPriority w:val="99"/>
    <w:rsid w:val="003B2EF3"/>
    <w:pPr>
      <w:keepNext/>
      <w:spacing w:line="288" w:lineRule="auto"/>
    </w:pPr>
    <w:rPr>
      <w:rFonts w:ascii="Calibri" w:eastAsia="Times New Roman" w:hAnsi="Calibri" w:cs="Times New Roman"/>
      <w:b/>
      <w:szCs w:val="20"/>
    </w:rPr>
  </w:style>
  <w:style w:type="character" w:customStyle="1" w:styleId="ghr-condition">
    <w:name w:val="ghr-condition"/>
    <w:basedOn w:val="DefaultParagraphFont"/>
    <w:rsid w:val="003B2EF3"/>
  </w:style>
  <w:style w:type="character" w:customStyle="1" w:styleId="ilfuvd">
    <w:name w:val="ilfuvd"/>
    <w:basedOn w:val="DefaultParagraphFont"/>
    <w:rsid w:val="003B2EF3"/>
  </w:style>
  <w:style w:type="paragraph" w:customStyle="1" w:styleId="Default">
    <w:name w:val="Default"/>
    <w:rsid w:val="003B2EF3"/>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3B2EF3"/>
    <w:rPr>
      <w:color w:val="605E5C"/>
      <w:shd w:val="clear" w:color="auto" w:fill="E1DFDD"/>
    </w:rPr>
  </w:style>
  <w:style w:type="paragraph" w:customStyle="1" w:styleId="EndNoteBibliographyTitle">
    <w:name w:val="EndNote Bibliography Title"/>
    <w:basedOn w:val="Normal"/>
    <w:link w:val="EndNoteBibliographyTitleChar"/>
    <w:rsid w:val="003B2EF3"/>
    <w:pPr>
      <w:spacing w:before="120" w:after="0" w:line="240" w:lineRule="auto"/>
      <w:jc w:val="center"/>
    </w:pPr>
    <w:rPr>
      <w:rFonts w:eastAsiaTheme="minorHAnsi" w:cs="Calibri"/>
      <w:noProof/>
      <w:lang w:val="en-US"/>
    </w:rPr>
  </w:style>
  <w:style w:type="character" w:customStyle="1" w:styleId="EndNoteBibliographyTitleChar">
    <w:name w:val="EndNote Bibliography Title Char"/>
    <w:basedOn w:val="DefaultParagraphFont"/>
    <w:link w:val="EndNoteBibliographyTitle"/>
    <w:rsid w:val="003B2EF3"/>
    <w:rPr>
      <w:rFonts w:ascii="Calibri" w:hAnsi="Calibri" w:cs="Calibri"/>
      <w:noProof/>
      <w:lang w:val="en-US"/>
    </w:rPr>
  </w:style>
  <w:style w:type="paragraph" w:customStyle="1" w:styleId="EndNoteBibliography">
    <w:name w:val="EndNote Bibliography"/>
    <w:basedOn w:val="Normal"/>
    <w:link w:val="EndNoteBibliographyChar"/>
    <w:rsid w:val="003B2EF3"/>
    <w:pPr>
      <w:spacing w:before="120" w:after="120" w:line="240" w:lineRule="auto"/>
    </w:pPr>
    <w:rPr>
      <w:rFonts w:eastAsiaTheme="minorHAnsi" w:cs="Calibri"/>
      <w:noProof/>
      <w:lang w:val="en-US"/>
    </w:rPr>
  </w:style>
  <w:style w:type="character" w:customStyle="1" w:styleId="EndNoteBibliographyChar">
    <w:name w:val="EndNote Bibliography Char"/>
    <w:basedOn w:val="DefaultParagraphFont"/>
    <w:link w:val="EndNoteBibliography"/>
    <w:rsid w:val="003B2EF3"/>
    <w:rPr>
      <w:rFonts w:ascii="Calibri" w:hAnsi="Calibri" w:cs="Calibri"/>
      <w:noProof/>
      <w:lang w:val="en-US"/>
    </w:rPr>
  </w:style>
  <w:style w:type="character" w:customStyle="1" w:styleId="UnresolvedMention3">
    <w:name w:val="Unresolved Mention3"/>
    <w:basedOn w:val="DefaultParagraphFont"/>
    <w:uiPriority w:val="99"/>
    <w:semiHidden/>
    <w:unhideWhenUsed/>
    <w:rsid w:val="003B2EF3"/>
    <w:rPr>
      <w:color w:val="605E5C"/>
      <w:shd w:val="clear" w:color="auto" w:fill="E1DFDD"/>
    </w:rPr>
  </w:style>
  <w:style w:type="table" w:customStyle="1" w:styleId="TableGrid3">
    <w:name w:val="Table Grid3"/>
    <w:basedOn w:val="TableNormal"/>
    <w:next w:val="TableGrid"/>
    <w:uiPriority w:val="59"/>
    <w:rsid w:val="003B2E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2EF3"/>
    <w:rPr>
      <w:color w:val="605E5C"/>
      <w:shd w:val="clear" w:color="auto" w:fill="E1DFDD"/>
    </w:rPr>
  </w:style>
  <w:style w:type="character" w:customStyle="1" w:styleId="UnresolvedMention5">
    <w:name w:val="Unresolved Mention5"/>
    <w:basedOn w:val="DefaultParagraphFont"/>
    <w:uiPriority w:val="99"/>
    <w:semiHidden/>
    <w:unhideWhenUsed/>
    <w:rsid w:val="00E15C6E"/>
    <w:rPr>
      <w:color w:val="605E5C"/>
      <w:shd w:val="clear" w:color="auto" w:fill="E1DFDD"/>
    </w:rPr>
  </w:style>
  <w:style w:type="character" w:customStyle="1" w:styleId="UnresolvedMention50">
    <w:name w:val="Unresolved Mention5"/>
    <w:basedOn w:val="DefaultParagraphFont"/>
    <w:uiPriority w:val="99"/>
    <w:semiHidden/>
    <w:unhideWhenUsed/>
    <w:rsid w:val="00E1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244847077">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46838053">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37996203">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873932593">
      <w:bodyDiv w:val="1"/>
      <w:marLeft w:val="0"/>
      <w:marRight w:val="0"/>
      <w:marTop w:val="0"/>
      <w:marBottom w:val="0"/>
      <w:divBdr>
        <w:top w:val="none" w:sz="0" w:space="0" w:color="auto"/>
        <w:left w:val="none" w:sz="0" w:space="0" w:color="auto"/>
        <w:bottom w:val="none" w:sz="0" w:space="0" w:color="auto"/>
        <w:right w:val="none" w:sz="0" w:space="0" w:color="auto"/>
      </w:divBdr>
    </w:div>
    <w:div w:id="881527010">
      <w:bodyDiv w:val="1"/>
      <w:marLeft w:val="0"/>
      <w:marRight w:val="0"/>
      <w:marTop w:val="0"/>
      <w:marBottom w:val="0"/>
      <w:divBdr>
        <w:top w:val="none" w:sz="0" w:space="0" w:color="auto"/>
        <w:left w:val="none" w:sz="0" w:space="0" w:color="auto"/>
        <w:bottom w:val="none" w:sz="0" w:space="0" w:color="auto"/>
        <w:right w:val="none" w:sz="0" w:space="0" w:color="auto"/>
      </w:divBdr>
    </w:div>
    <w:div w:id="966131919">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160845672">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336345354">
      <w:bodyDiv w:val="1"/>
      <w:marLeft w:val="0"/>
      <w:marRight w:val="0"/>
      <w:marTop w:val="0"/>
      <w:marBottom w:val="0"/>
      <w:divBdr>
        <w:top w:val="none" w:sz="0" w:space="0" w:color="auto"/>
        <w:left w:val="none" w:sz="0" w:space="0" w:color="auto"/>
        <w:bottom w:val="none" w:sz="0" w:space="0" w:color="auto"/>
        <w:right w:val="none" w:sz="0" w:space="0" w:color="auto"/>
      </w:divBdr>
    </w:div>
    <w:div w:id="1452048335">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07611611">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47916289">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 w:id="213578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ncbi.nlm.nih.gov/books/NBK1312/" TargetMode="External"/><Relationship Id="rId26" Type="http://schemas.openxmlformats.org/officeDocument/2006/relationships/hyperlink" Target="https://www.hgsa.org.au/documents/item/6092" TargetMode="External"/><Relationship Id="rId39" Type="http://schemas.openxmlformats.org/officeDocument/2006/relationships/hyperlink" Target="https://www.ncbi.nlm.nih.gov/books/NBK1269/" TargetMode="External"/><Relationship Id="rId3" Type="http://schemas.openxmlformats.org/officeDocument/2006/relationships/styles" Target="styles.xml"/><Relationship Id="rId21" Type="http://schemas.openxmlformats.org/officeDocument/2006/relationships/hyperlink" Target="https://www.health.gov.au/resources/publications/lsdp-gaucher-guidelines" TargetMode="External"/><Relationship Id="rId34" Type="http://schemas.openxmlformats.org/officeDocument/2006/relationships/hyperlink" Target="https://ghr.nlm.nih.gov/condition/mucolipidosis-type-iv" TargetMode="External"/><Relationship Id="rId42" Type="http://schemas.openxmlformats.org/officeDocument/2006/relationships/hyperlink" Target="https://www.ncbi.nlm.nih.gov/books/NBK118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hyperlink" Target="https://www.ncbi.nlm.nih.gov/books/NBK448138/" TargetMode="External"/><Relationship Id="rId33" Type="http://schemas.openxmlformats.org/officeDocument/2006/relationships/hyperlink" Target="https://ghr.nlm.nih.gov/condition/familial-dysautonomia" TargetMode="External"/><Relationship Id="rId38" Type="http://schemas.openxmlformats.org/officeDocument/2006/relationships/hyperlink" Target="https://ghr.nlm.nih.gov/condition/niemann-pick-diseas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www1.racgp.org.au/ajgp/2019/march/preconception-and-antenatal-carrier-screening-for" TargetMode="External"/><Relationship Id="rId29" Type="http://schemas.openxmlformats.org/officeDocument/2006/relationships/hyperlink" Target="https://www.ncbi.nlm.nih.gov/books/NBK1401/" TargetMode="External"/><Relationship Id="rId41" Type="http://schemas.openxmlformats.org/officeDocument/2006/relationships/hyperlink" Target="https://www.ncbi.nlm.nih.gov/books/NBK1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jca.org.au/wp-content/uploads/2020/06/Census-Report-2016-1.1.pdf" TargetMode="External"/><Relationship Id="rId32" Type="http://schemas.openxmlformats.org/officeDocument/2006/relationships/hyperlink" Target="https://ghr.nlm.nih.gov/condition/tay-sachs-disease" TargetMode="External"/><Relationship Id="rId37" Type="http://schemas.openxmlformats.org/officeDocument/2006/relationships/hyperlink" Target="https://ghr.nlm.nih.gov/condition/glycogen-storage-disease-type-i" TargetMode="External"/><Relationship Id="rId40" Type="http://schemas.openxmlformats.org/officeDocument/2006/relationships/hyperlink" Target="https://ranzcog.edu.au/RANZCOG_SITE/media/RANZCOG-MEDIA/Women%27s%20Health/Statement%20and%20guidelines/Clinical-Obstetrics/Genetic-carrier-screening(C-Obs-63)New-March-2019_1.pdf?ext=.pdf" TargetMode="External"/><Relationship Id="rId45" Type="http://schemas.openxmlformats.org/officeDocument/2006/relationships/hyperlink" Target="https://www.ncbi.nlm.nih.gov/books/NBK1370/" TargetMode="Externa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s://www.ncbi.nlm.nih.gov/books/NBK1398/" TargetMode="External"/><Relationship Id="rId28" Type="http://schemas.openxmlformats.org/officeDocument/2006/relationships/hyperlink" Target="https://www.ncbi.nlm.nih.gov/books/NBK1234/" TargetMode="External"/><Relationship Id="rId36" Type="http://schemas.openxmlformats.org/officeDocument/2006/relationships/hyperlink" Target="https://ghr.nlm.nih.gov/condition/canavan-disease" TargetMode="External"/><Relationship Id="rId10" Type="http://schemas.openxmlformats.org/officeDocument/2006/relationships/footer" Target="footer2.xml"/><Relationship Id="rId19" Type="http://schemas.openxmlformats.org/officeDocument/2006/relationships/hyperlink" Target="https://wiki.cancer.org.au/policy/Principles_of_screening" TargetMode="External"/><Relationship Id="rId31" Type="http://schemas.openxmlformats.org/officeDocument/2006/relationships/hyperlink" Target="https://ghr.nlm.nih.gov/condition/fanconi-anemia" TargetMode="External"/><Relationship Id="rId44" Type="http://schemas.openxmlformats.org/officeDocument/2006/relationships/hyperlink" Target="https://www.ncbi.nlm.nih.gov/pmc/articles/PMC33475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hyperlink" Target="https://doryeshorim.org/tests/" TargetMode="External"/><Relationship Id="rId27" Type="http://schemas.openxmlformats.org/officeDocument/2006/relationships/hyperlink" Target="https://www.ncbi.nlm.nih.gov/books/NBK1218/pdf/Bookshelf_NBK1218.pdf" TargetMode="External"/><Relationship Id="rId30" Type="http://schemas.openxmlformats.org/officeDocument/2006/relationships/hyperlink" Target="https://ghr.nlm.nih.gov/gene/HEXA" TargetMode="External"/><Relationship Id="rId35" Type="http://schemas.openxmlformats.org/officeDocument/2006/relationships/hyperlink" Target="https://ghr.nlm.nih.gov/condition/bloom-syndrome" TargetMode="External"/><Relationship Id="rId43" Type="http://schemas.openxmlformats.org/officeDocument/2006/relationships/hyperlink" Target="https://pubmed.ncbi.nlm.nih.gov/22649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AFF8-CCB7-405A-9DB7-3C20104A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26771</Words>
  <Characters>152600</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2022-02-08T04:15:00Z</dcterms:created>
  <dcterms:modified xsi:type="dcterms:W3CDTF">2022-02-08T04:31:00Z</dcterms:modified>
</cp:coreProperties>
</file>