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E6B6C" w14:textId="6C3EBDE9" w:rsidR="006478E7" w:rsidRPr="00490FBB" w:rsidRDefault="006478E7" w:rsidP="006478E7">
      <w:pPr>
        <w:spacing w:before="120" w:after="120" w:line="312" w:lineRule="auto"/>
        <w:jc w:val="center"/>
      </w:pPr>
    </w:p>
    <w:p w14:paraId="50B6D781" w14:textId="0CF83828" w:rsidR="006478E7" w:rsidRPr="00490FBB" w:rsidRDefault="007046DE" w:rsidP="00BB0FFB">
      <w:pPr>
        <w:pStyle w:val="Heading10"/>
        <w:spacing w:before="2880"/>
        <w:jc w:val="center"/>
        <w:rPr>
          <w:sz w:val="48"/>
          <w:szCs w:val="48"/>
        </w:rPr>
      </w:pPr>
      <w:r>
        <w:rPr>
          <w:sz w:val="48"/>
          <w:szCs w:val="48"/>
        </w:rPr>
        <w:t xml:space="preserve">MSAC </w:t>
      </w:r>
      <w:r w:rsidRPr="00490FBB">
        <w:rPr>
          <w:sz w:val="48"/>
          <w:szCs w:val="48"/>
        </w:rPr>
        <w:t xml:space="preserve">Application </w:t>
      </w:r>
      <w:r w:rsidR="00F229B5">
        <w:rPr>
          <w:sz w:val="48"/>
          <w:szCs w:val="48"/>
        </w:rPr>
        <w:t>1773</w:t>
      </w:r>
    </w:p>
    <w:p w14:paraId="7985247B" w14:textId="77777777" w:rsidR="00827912" w:rsidRDefault="007046DE" w:rsidP="005D633D">
      <w:pPr>
        <w:pStyle w:val="Heading10"/>
        <w:jc w:val="center"/>
        <w:rPr>
          <w:color w:val="548DD4"/>
          <w:sz w:val="48"/>
          <w:szCs w:val="48"/>
        </w:rPr>
      </w:pPr>
      <w:r w:rsidRPr="001E6DA3">
        <w:rPr>
          <w:color w:val="548DD4"/>
          <w:sz w:val="48"/>
          <w:szCs w:val="48"/>
        </w:rPr>
        <w:t xml:space="preserve">Autologous chondrocyte implantation for symptomatic articular cartilage defects </w:t>
      </w:r>
      <w:r w:rsidR="0089378F">
        <w:rPr>
          <w:color w:val="548DD4"/>
          <w:sz w:val="48"/>
          <w:szCs w:val="48"/>
        </w:rPr>
        <w:br/>
      </w:r>
      <w:r w:rsidRPr="001E6DA3">
        <w:rPr>
          <w:color w:val="548DD4"/>
          <w:sz w:val="48"/>
          <w:szCs w:val="48"/>
        </w:rPr>
        <w:t>greater than 2</w:t>
      </w:r>
      <w:r w:rsidR="00730CC4">
        <w:rPr>
          <w:color w:val="548DD4"/>
          <w:sz w:val="48"/>
          <w:szCs w:val="48"/>
        </w:rPr>
        <w:t> </w:t>
      </w:r>
      <w:r w:rsidR="00C10FEA" w:rsidRPr="00C10FEA">
        <w:rPr>
          <w:color w:val="548DD4"/>
          <w:sz w:val="48"/>
          <w:szCs w:val="48"/>
        </w:rPr>
        <w:t>cm²</w:t>
      </w:r>
      <w:r w:rsidRPr="001E6DA3">
        <w:rPr>
          <w:color w:val="548DD4"/>
          <w:sz w:val="48"/>
          <w:szCs w:val="48"/>
        </w:rPr>
        <w:t xml:space="preserve"> of the knee</w:t>
      </w:r>
      <w:r>
        <w:rPr>
          <w:color w:val="548DD4"/>
          <w:sz w:val="48"/>
          <w:szCs w:val="48"/>
        </w:rPr>
        <w:t xml:space="preserve"> </w:t>
      </w:r>
    </w:p>
    <w:p w14:paraId="32052509" w14:textId="77777777" w:rsidR="00827912" w:rsidRDefault="00827912" w:rsidP="005D633D">
      <w:pPr>
        <w:pStyle w:val="Heading10"/>
        <w:jc w:val="center"/>
        <w:rPr>
          <w:color w:val="548DD4"/>
          <w:sz w:val="48"/>
          <w:szCs w:val="48"/>
        </w:rPr>
      </w:pPr>
    </w:p>
    <w:p w14:paraId="11765312" w14:textId="79914455" w:rsidR="006478E7" w:rsidRPr="00951428" w:rsidRDefault="007046DE" w:rsidP="005D633D">
      <w:pPr>
        <w:pStyle w:val="Heading10"/>
        <w:jc w:val="center"/>
        <w:rPr>
          <w:color w:val="548DD4"/>
          <w:sz w:val="40"/>
          <w:szCs w:val="40"/>
        </w:rPr>
      </w:pPr>
      <w:r w:rsidRPr="00951428">
        <w:rPr>
          <w:color w:val="548DD4"/>
          <w:sz w:val="40"/>
          <w:szCs w:val="40"/>
        </w:rPr>
        <w:t>Applicant: Wurl</w:t>
      </w:r>
      <w:r w:rsidR="00CF0B23" w:rsidRPr="00951428">
        <w:rPr>
          <w:color w:val="548DD4"/>
          <w:sz w:val="40"/>
          <w:szCs w:val="40"/>
        </w:rPr>
        <w:t>e</w:t>
      </w:r>
      <w:r w:rsidRPr="00951428">
        <w:rPr>
          <w:color w:val="548DD4"/>
          <w:sz w:val="40"/>
          <w:szCs w:val="40"/>
        </w:rPr>
        <w:t>y Group Pty Ltd</w:t>
      </w:r>
    </w:p>
    <w:p w14:paraId="0A2871F9" w14:textId="77777777" w:rsidR="00C834D5" w:rsidRDefault="00C834D5" w:rsidP="005D633D">
      <w:pPr>
        <w:pStyle w:val="Heading10"/>
        <w:jc w:val="center"/>
        <w:rPr>
          <w:color w:val="548DD4"/>
          <w:sz w:val="48"/>
          <w:szCs w:val="48"/>
        </w:rPr>
      </w:pPr>
    </w:p>
    <w:p w14:paraId="0CB95579" w14:textId="77777777" w:rsidR="00C834D5" w:rsidRPr="00C834D5" w:rsidRDefault="00C834D5" w:rsidP="005D633D">
      <w:pPr>
        <w:pStyle w:val="Heading10"/>
        <w:jc w:val="center"/>
        <w:rPr>
          <w:color w:val="5B9BD5" w:themeColor="accent1"/>
          <w:sz w:val="48"/>
          <w:szCs w:val="48"/>
        </w:rPr>
      </w:pPr>
    </w:p>
    <w:p w14:paraId="37320042" w14:textId="642893BA" w:rsidR="00C07024" w:rsidRDefault="006478E7" w:rsidP="00BB0FFB">
      <w:pPr>
        <w:pStyle w:val="Heading1"/>
      </w:pPr>
      <w:r>
        <w:t>PICO Confirmation</w:t>
      </w:r>
    </w:p>
    <w:p w14:paraId="23900CA0" w14:textId="6AFDDD70" w:rsidR="006478E7" w:rsidRPr="00490FBB" w:rsidRDefault="007046DE" w:rsidP="00CB5CA7">
      <w:pPr>
        <w:pStyle w:val="Heading1"/>
        <w:spacing w:before="0"/>
      </w:pPr>
      <w:r w:rsidRPr="00490FBB">
        <w:br w:type="page"/>
      </w:r>
    </w:p>
    <w:p w14:paraId="219312C8" w14:textId="32269333" w:rsidR="006478E7" w:rsidRPr="00D52956" w:rsidRDefault="007046DE" w:rsidP="00BB0FFB">
      <w:pPr>
        <w:pStyle w:val="Heading2"/>
      </w:pPr>
      <w:r w:rsidRPr="00D52956">
        <w:lastRenderedPageBreak/>
        <w:t>Summary of PI</w:t>
      </w:r>
      <w:r w:rsidR="00235B21">
        <w:t xml:space="preserve">CO criteria to define </w:t>
      </w:r>
      <w:r w:rsidRPr="00D52956">
        <w:t>question(s) to be addressed in an Assessment Report to the Medical Services Advisory Committee (MSAC)</w:t>
      </w:r>
    </w:p>
    <w:p w14:paraId="224459F3" w14:textId="4F8A5381" w:rsidR="00D52956" w:rsidRDefault="007046DE" w:rsidP="005367F7">
      <w:pPr>
        <w:pStyle w:val="Caption"/>
        <w:ind w:left="0" w:firstLine="0"/>
      </w:pPr>
      <w:bookmarkStart w:id="0" w:name="_Ref69732160"/>
      <w:bookmarkStart w:id="1" w:name="_Ref69732155"/>
      <w:r>
        <w:t>Table</w:t>
      </w:r>
      <w:r w:rsidR="00FD4C65">
        <w:t> </w:t>
      </w:r>
      <w:r>
        <w:fldChar w:fldCharType="begin"/>
      </w:r>
      <w:r>
        <w:instrText xml:space="preserve"> SEQ Table \* ARABIC </w:instrText>
      </w:r>
      <w:r>
        <w:fldChar w:fldCharType="separate"/>
      </w:r>
      <w:r w:rsidR="00E602A3">
        <w:rPr>
          <w:noProof/>
        </w:rPr>
        <w:t>1</w:t>
      </w:r>
      <w:r>
        <w:fldChar w:fldCharType="end"/>
      </w:r>
      <w:bookmarkEnd w:id="0"/>
      <w:r>
        <w:tab/>
        <w:t>PICO</w:t>
      </w:r>
      <w:r w:rsidR="00E049FE">
        <w:t xml:space="preserve"> for</w:t>
      </w:r>
      <w:r>
        <w:t xml:space="preserve"> </w:t>
      </w:r>
      <w:r w:rsidR="00EF5170">
        <w:t>matrix</w:t>
      </w:r>
      <w:r w:rsidR="005367F7">
        <w:t>-</w:t>
      </w:r>
      <w:r w:rsidR="00EF5170">
        <w:t xml:space="preserve">assisted </w:t>
      </w:r>
      <w:r w:rsidR="008C33AE" w:rsidRPr="0028187D">
        <w:t>autologous</w:t>
      </w:r>
      <w:r w:rsidR="008C33AE">
        <w:t xml:space="preserve"> chondrocyte implantation (ACI)</w:t>
      </w:r>
      <w:r>
        <w:t xml:space="preserve"> in</w:t>
      </w:r>
      <w:r w:rsidR="002B2043">
        <w:t xml:space="preserve"> patients with symptomatic chondral defects of the knee</w:t>
      </w:r>
      <w:bookmarkEnd w:id="1"/>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Caption w:val="Table 1 PICO for autologous chondrocyte implantation (ACI) in patients with symptomatic chondral defects of the knee: PICO Set 1"/>
        <w:tblDescription w:val="Table lists the population, intervetion, comparator and outcomes for the application, as well as economic inputs and the assessment question."/>
      </w:tblPr>
      <w:tblGrid>
        <w:gridCol w:w="1923"/>
        <w:gridCol w:w="7643"/>
      </w:tblGrid>
      <w:tr w:rsidR="00FD7D5C" w14:paraId="2A509B30" w14:textId="77777777" w:rsidTr="00C54349">
        <w:trPr>
          <w:trHeight w:val="372"/>
          <w:tblHeader/>
        </w:trPr>
        <w:tc>
          <w:tcPr>
            <w:tcW w:w="1005" w:type="pct"/>
            <w:tcBorders>
              <w:top w:val="single" w:sz="8" w:space="0" w:color="auto"/>
              <w:left w:val="single" w:sz="8" w:space="0" w:color="auto"/>
              <w:bottom w:val="single" w:sz="8" w:space="0" w:color="auto"/>
              <w:right w:val="single" w:sz="4" w:space="0" w:color="auto"/>
            </w:tcBorders>
            <w:shd w:val="clear" w:color="auto" w:fill="D9D9D9"/>
            <w:vAlign w:val="center"/>
            <w:hideMark/>
          </w:tcPr>
          <w:p w14:paraId="333B8A35" w14:textId="77777777" w:rsidR="006478E7" w:rsidRPr="000A2F95" w:rsidRDefault="007046DE" w:rsidP="000A2F95">
            <w:pPr>
              <w:pStyle w:val="TableHeading"/>
            </w:pPr>
            <w:bookmarkStart w:id="2" w:name="Title_Table1" w:colFirst="0" w:colLast="0"/>
            <w:r w:rsidRPr="000A2F95">
              <w:t>Component</w:t>
            </w:r>
          </w:p>
        </w:tc>
        <w:tc>
          <w:tcPr>
            <w:tcW w:w="399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31DF4F" w14:textId="77777777" w:rsidR="006478E7" w:rsidRPr="000A2F95" w:rsidRDefault="007046DE" w:rsidP="000A2F95">
            <w:pPr>
              <w:pStyle w:val="TableHeading"/>
            </w:pPr>
            <w:r w:rsidRPr="000A2F95">
              <w:t>Description</w:t>
            </w:r>
          </w:p>
        </w:tc>
      </w:tr>
      <w:bookmarkEnd w:id="2"/>
      <w:tr w:rsidR="00FD7D5C" w14:paraId="78E0BB65" w14:textId="77777777" w:rsidTr="006478E7">
        <w:tc>
          <w:tcPr>
            <w:tcW w:w="1005" w:type="pct"/>
            <w:tcBorders>
              <w:top w:val="single" w:sz="8" w:space="0" w:color="auto"/>
              <w:left w:val="single" w:sz="8" w:space="0" w:color="auto"/>
              <w:bottom w:val="single" w:sz="4" w:space="0" w:color="auto"/>
              <w:right w:val="single" w:sz="4" w:space="0" w:color="auto"/>
            </w:tcBorders>
            <w:hideMark/>
          </w:tcPr>
          <w:p w14:paraId="715E50D5" w14:textId="74EB4863" w:rsidR="006478E7" w:rsidRPr="00490FBB" w:rsidRDefault="007046DE" w:rsidP="000A2F95">
            <w:pPr>
              <w:pStyle w:val="TableText0"/>
            </w:pPr>
            <w:r>
              <w:t>Population</w:t>
            </w:r>
          </w:p>
        </w:tc>
        <w:tc>
          <w:tcPr>
            <w:tcW w:w="3995" w:type="pct"/>
            <w:tcBorders>
              <w:top w:val="single" w:sz="4" w:space="0" w:color="auto"/>
              <w:left w:val="single" w:sz="4" w:space="0" w:color="auto"/>
              <w:bottom w:val="single" w:sz="4" w:space="0" w:color="auto"/>
              <w:right w:val="single" w:sz="4" w:space="0" w:color="auto"/>
            </w:tcBorders>
            <w:hideMark/>
          </w:tcPr>
          <w:p w14:paraId="47D25569" w14:textId="77777777" w:rsidR="0014579E" w:rsidRDefault="007046DE" w:rsidP="00F634FC">
            <w:pPr>
              <w:pStyle w:val="TableText0"/>
              <w:spacing w:before="20"/>
              <w:rPr>
                <w:szCs w:val="20"/>
              </w:rPr>
            </w:pPr>
            <w:r>
              <w:t xml:space="preserve">Patients </w:t>
            </w:r>
            <w:r w:rsidR="007E331F" w:rsidRPr="007E331F">
              <w:t>aged between 18 and 55 years</w:t>
            </w:r>
            <w:r w:rsidR="00F129B6">
              <w:t xml:space="preserve"> who have failed conservative treatment </w:t>
            </w:r>
            <w:r w:rsidR="00465442">
              <w:t>of</w:t>
            </w:r>
            <w:r w:rsidR="009260BB">
              <w:t xml:space="preserve"> symptomatic,</w:t>
            </w:r>
            <w:r w:rsidR="00293985">
              <w:t xml:space="preserve"> </w:t>
            </w:r>
            <w:r w:rsidR="00293985" w:rsidRPr="008D3473">
              <w:t>International Cartilage Repair Society</w:t>
            </w:r>
            <w:r>
              <w:t xml:space="preserve"> </w:t>
            </w:r>
            <w:r w:rsidR="004F3E0F">
              <w:t>(</w:t>
            </w:r>
            <w:r w:rsidR="00CD0BA4" w:rsidRPr="00A223E7">
              <w:t>ICRS</w:t>
            </w:r>
            <w:r w:rsidR="00383CDC">
              <w:t>)</w:t>
            </w:r>
            <w:r w:rsidR="00CD0BA4" w:rsidRPr="00A223E7">
              <w:t xml:space="preserve"> grade 3 or 4</w:t>
            </w:r>
            <w:r w:rsidR="00644054">
              <w:t xml:space="preserve">, </w:t>
            </w:r>
            <w:r w:rsidR="00A23673">
              <w:t>focal chondral</w:t>
            </w:r>
            <w:r w:rsidR="00AB6B0D">
              <w:t xml:space="preserve"> </w:t>
            </w:r>
            <w:r w:rsidR="00662A3A">
              <w:t xml:space="preserve">or osteochondral </w:t>
            </w:r>
            <w:r w:rsidR="00A23673">
              <w:t>defects</w:t>
            </w:r>
            <w:r w:rsidR="00D843F7">
              <w:t xml:space="preserve"> of the knee</w:t>
            </w:r>
            <w:r w:rsidR="00816096">
              <w:t xml:space="preserve"> in an otherwise normal joint (e.g.</w:t>
            </w:r>
            <w:r w:rsidR="00AF6CBC">
              <w:t xml:space="preserve"> </w:t>
            </w:r>
            <w:r w:rsidR="002C55AE">
              <w:t xml:space="preserve">in the absence of </w:t>
            </w:r>
            <w:r w:rsidR="0072483C" w:rsidRPr="001E3DE6">
              <w:rPr>
                <w:szCs w:val="20"/>
              </w:rPr>
              <w:t>rheumatoid or other inflammatory arthritic conditions</w:t>
            </w:r>
            <w:r w:rsidR="0072483C">
              <w:rPr>
                <w:szCs w:val="20"/>
              </w:rPr>
              <w:t xml:space="preserve">, </w:t>
            </w:r>
            <w:r w:rsidR="0072483C" w:rsidRPr="001E3DE6">
              <w:rPr>
                <w:szCs w:val="20"/>
              </w:rPr>
              <w:t>osteoarthritis</w:t>
            </w:r>
            <w:r w:rsidR="0072483C">
              <w:rPr>
                <w:szCs w:val="20"/>
              </w:rPr>
              <w:t xml:space="preserve"> or </w:t>
            </w:r>
            <w:r w:rsidR="0072483C" w:rsidRPr="001E3DE6">
              <w:rPr>
                <w:szCs w:val="20"/>
              </w:rPr>
              <w:t>unstable or mal-aligned joints, unless being concurrently corrected</w:t>
            </w:r>
            <w:r w:rsidR="009F0B62">
              <w:rPr>
                <w:szCs w:val="20"/>
              </w:rPr>
              <w:t>)</w:t>
            </w:r>
            <w:r w:rsidR="00FB6C1A">
              <w:rPr>
                <w:szCs w:val="20"/>
              </w:rPr>
              <w:t xml:space="preserve">, </w:t>
            </w:r>
            <w:r w:rsidR="00960FDA">
              <w:rPr>
                <w:szCs w:val="20"/>
              </w:rPr>
              <w:t xml:space="preserve">where lesions are </w:t>
            </w:r>
            <w:r w:rsidR="00DE05DD">
              <w:rPr>
                <w:szCs w:val="20"/>
              </w:rPr>
              <w:t>at least</w:t>
            </w:r>
            <w:r w:rsidR="005830AF">
              <w:rPr>
                <w:szCs w:val="20"/>
              </w:rPr>
              <w:t xml:space="preserve"> </w:t>
            </w:r>
            <w:r w:rsidR="00960FDA">
              <w:rPr>
                <w:szCs w:val="20"/>
              </w:rPr>
              <w:t xml:space="preserve">2 </w:t>
            </w:r>
            <w:r w:rsidR="00960FDA" w:rsidRPr="00960FDA">
              <w:rPr>
                <w:szCs w:val="20"/>
              </w:rPr>
              <w:t>cm²</w:t>
            </w:r>
            <w:r w:rsidR="00960FDA">
              <w:rPr>
                <w:szCs w:val="20"/>
              </w:rPr>
              <w:t xml:space="preserve"> </w:t>
            </w:r>
            <w:r w:rsidR="00DE05DD">
              <w:rPr>
                <w:szCs w:val="20"/>
              </w:rPr>
              <w:t>but less than</w:t>
            </w:r>
            <w:r w:rsidR="00960FDA">
              <w:rPr>
                <w:szCs w:val="20"/>
              </w:rPr>
              <w:t xml:space="preserve"> 20</w:t>
            </w:r>
            <w:r w:rsidR="00242D2C">
              <w:rPr>
                <w:szCs w:val="20"/>
              </w:rPr>
              <w:t> </w:t>
            </w:r>
            <w:r w:rsidR="00960FDA" w:rsidRPr="00960FDA">
              <w:rPr>
                <w:szCs w:val="20"/>
              </w:rPr>
              <w:t>cm²</w:t>
            </w:r>
            <w:r w:rsidR="00960FDA">
              <w:rPr>
                <w:szCs w:val="20"/>
              </w:rPr>
              <w:t xml:space="preserve"> in size.</w:t>
            </w:r>
          </w:p>
          <w:p w14:paraId="38761720" w14:textId="052E0B30" w:rsidR="00341D1F" w:rsidRPr="00341D1F" w:rsidRDefault="007046DE" w:rsidP="00186BA4">
            <w:pPr>
              <w:pStyle w:val="TableText0"/>
              <w:spacing w:after="0"/>
              <w:rPr>
                <w:szCs w:val="20"/>
              </w:rPr>
            </w:pPr>
            <w:r>
              <w:rPr>
                <w:szCs w:val="20"/>
              </w:rPr>
              <w:t>T</w:t>
            </w:r>
            <w:r w:rsidRPr="00341D1F">
              <w:rPr>
                <w:szCs w:val="20"/>
              </w:rPr>
              <w:t>wo lesion-size</w:t>
            </w:r>
            <w:r w:rsidR="008A3463">
              <w:rPr>
                <w:szCs w:val="20"/>
              </w:rPr>
              <w:t>d sub-</w:t>
            </w:r>
            <w:r w:rsidRPr="00341D1F">
              <w:rPr>
                <w:szCs w:val="20"/>
              </w:rPr>
              <w:t>groups</w:t>
            </w:r>
            <w:r>
              <w:rPr>
                <w:szCs w:val="20"/>
              </w:rPr>
              <w:t xml:space="preserve"> are to be considered</w:t>
            </w:r>
            <w:r w:rsidRPr="00341D1F">
              <w:rPr>
                <w:szCs w:val="20"/>
              </w:rPr>
              <w:t>:</w:t>
            </w:r>
          </w:p>
          <w:p w14:paraId="25620736" w14:textId="299C6729" w:rsidR="00341D1F" w:rsidRPr="0035076F" w:rsidRDefault="007046DE" w:rsidP="00E052A2">
            <w:pPr>
              <w:pStyle w:val="TableText0"/>
              <w:numPr>
                <w:ilvl w:val="0"/>
                <w:numId w:val="21"/>
              </w:numPr>
              <w:spacing w:before="0" w:after="0"/>
            </w:pPr>
            <w:r w:rsidRPr="0035076F">
              <w:t>2</w:t>
            </w:r>
            <w:r w:rsidR="00661556">
              <w:t xml:space="preserve"> </w:t>
            </w:r>
            <w:r w:rsidR="00661556" w:rsidRPr="0035076F">
              <w:t>cm²</w:t>
            </w:r>
            <w:r w:rsidRPr="0035076F">
              <w:t xml:space="preserve"> to 4 cm²</w:t>
            </w:r>
          </w:p>
          <w:p w14:paraId="4A4FF7C2" w14:textId="279EF88D" w:rsidR="00341D1F" w:rsidRPr="009A1741" w:rsidRDefault="007046DE" w:rsidP="00E052A2">
            <w:pPr>
              <w:pStyle w:val="TableText0"/>
              <w:numPr>
                <w:ilvl w:val="0"/>
                <w:numId w:val="21"/>
              </w:numPr>
              <w:spacing w:before="0" w:after="0"/>
              <w:rPr>
                <w:szCs w:val="20"/>
              </w:rPr>
            </w:pPr>
            <w:r w:rsidRPr="0035076F">
              <w:t>&gt; 4</w:t>
            </w:r>
            <w:r w:rsidR="00661556">
              <w:t xml:space="preserve"> </w:t>
            </w:r>
            <w:r w:rsidR="00661556" w:rsidRPr="0035076F">
              <w:t>cm²</w:t>
            </w:r>
            <w:r w:rsidRPr="0035076F">
              <w:t xml:space="preserve"> to &lt; 20 cm²</w:t>
            </w:r>
            <w:r w:rsidR="0098403C" w:rsidRPr="0035076F">
              <w:t>.</w:t>
            </w:r>
          </w:p>
        </w:tc>
      </w:tr>
      <w:tr w:rsidR="00FD7D5C" w14:paraId="654E13A9" w14:textId="77777777" w:rsidTr="006478E7">
        <w:tc>
          <w:tcPr>
            <w:tcW w:w="1005" w:type="pct"/>
            <w:tcBorders>
              <w:top w:val="single" w:sz="4" w:space="0" w:color="auto"/>
              <w:left w:val="single" w:sz="8" w:space="0" w:color="auto"/>
              <w:bottom w:val="single" w:sz="4" w:space="0" w:color="auto"/>
              <w:right w:val="single" w:sz="4" w:space="0" w:color="auto"/>
            </w:tcBorders>
            <w:hideMark/>
          </w:tcPr>
          <w:p w14:paraId="5BF0C211" w14:textId="77777777" w:rsidR="006478E7" w:rsidRPr="00490FBB" w:rsidRDefault="007046DE" w:rsidP="000A2F95">
            <w:pPr>
              <w:pStyle w:val="Tabletext"/>
            </w:pPr>
            <w:r w:rsidRPr="00490FBB">
              <w:t>Intervention</w:t>
            </w:r>
          </w:p>
        </w:tc>
        <w:tc>
          <w:tcPr>
            <w:tcW w:w="3995" w:type="pct"/>
            <w:tcBorders>
              <w:top w:val="single" w:sz="4" w:space="0" w:color="auto"/>
              <w:left w:val="single" w:sz="4" w:space="0" w:color="auto"/>
              <w:bottom w:val="single" w:sz="4" w:space="0" w:color="auto"/>
              <w:right w:val="single" w:sz="4" w:space="0" w:color="auto"/>
            </w:tcBorders>
            <w:hideMark/>
          </w:tcPr>
          <w:p w14:paraId="3E51DB12" w14:textId="3D746864" w:rsidR="006478E7" w:rsidRPr="00D52956" w:rsidRDefault="007046DE" w:rsidP="000A2F95">
            <w:pPr>
              <w:pStyle w:val="TableText0"/>
            </w:pPr>
            <w:r>
              <w:t xml:space="preserve">Autologous </w:t>
            </w:r>
            <w:r w:rsidR="00E863A3">
              <w:t xml:space="preserve">chondrocyte </w:t>
            </w:r>
            <w:r w:rsidR="006B0E64">
              <w:t xml:space="preserve">implantation </w:t>
            </w:r>
            <w:r w:rsidR="00370F5C">
              <w:t xml:space="preserve">(ACI) </w:t>
            </w:r>
            <w:r w:rsidR="006B0E64">
              <w:t>using a collagen matrix scaffold</w:t>
            </w:r>
            <w:r w:rsidR="00E63909">
              <w:t>.</w:t>
            </w:r>
          </w:p>
        </w:tc>
      </w:tr>
      <w:tr w:rsidR="00FD7D5C" w14:paraId="1F5647C3" w14:textId="77777777" w:rsidTr="006478E7">
        <w:tc>
          <w:tcPr>
            <w:tcW w:w="1005" w:type="pct"/>
            <w:tcBorders>
              <w:top w:val="single" w:sz="4" w:space="0" w:color="auto"/>
              <w:left w:val="single" w:sz="8" w:space="0" w:color="auto"/>
              <w:bottom w:val="single" w:sz="4" w:space="0" w:color="auto"/>
              <w:right w:val="single" w:sz="4" w:space="0" w:color="auto"/>
            </w:tcBorders>
            <w:hideMark/>
          </w:tcPr>
          <w:p w14:paraId="7F55173A" w14:textId="77777777" w:rsidR="006478E7" w:rsidRPr="00490FBB" w:rsidRDefault="007046DE" w:rsidP="000A2F95">
            <w:pPr>
              <w:pStyle w:val="Tabletext"/>
            </w:pPr>
            <w:r w:rsidRPr="00490FBB">
              <w:t>Comparator</w:t>
            </w:r>
            <w:r w:rsidR="00D83062">
              <w:t>/s</w:t>
            </w:r>
          </w:p>
        </w:tc>
        <w:tc>
          <w:tcPr>
            <w:tcW w:w="3995" w:type="pct"/>
            <w:tcBorders>
              <w:top w:val="single" w:sz="4" w:space="0" w:color="auto"/>
              <w:left w:val="single" w:sz="4" w:space="0" w:color="auto"/>
              <w:bottom w:val="single" w:sz="4" w:space="0" w:color="auto"/>
              <w:right w:val="single" w:sz="4" w:space="0" w:color="auto"/>
            </w:tcBorders>
            <w:hideMark/>
          </w:tcPr>
          <w:p w14:paraId="46F93545" w14:textId="5CA01316" w:rsidR="00A3225F" w:rsidRDefault="007046DE" w:rsidP="00EF5E16">
            <w:pPr>
              <w:pStyle w:val="TableText0"/>
              <w:spacing w:before="0" w:after="0"/>
            </w:pPr>
            <w:r>
              <w:t>Comparator for lesions 2</w:t>
            </w:r>
            <w:r w:rsidR="00661556" w:rsidRPr="0035076F">
              <w:t xml:space="preserve"> cm²</w:t>
            </w:r>
            <w:r w:rsidR="00A96C7E">
              <w:t xml:space="preserve"> to </w:t>
            </w:r>
            <w:r>
              <w:t>4</w:t>
            </w:r>
            <w:r w:rsidR="00661556" w:rsidRPr="0035076F">
              <w:t xml:space="preserve"> cm²</w:t>
            </w:r>
            <w:r w:rsidR="006A6D1F">
              <w:t>:</w:t>
            </w:r>
          </w:p>
          <w:p w14:paraId="5659B750" w14:textId="77777777" w:rsidR="004A12CD" w:rsidRDefault="007046DE" w:rsidP="004A12CD">
            <w:pPr>
              <w:pStyle w:val="TableText0"/>
              <w:numPr>
                <w:ilvl w:val="0"/>
                <w:numId w:val="20"/>
              </w:numPr>
              <w:spacing w:before="0"/>
            </w:pPr>
            <w:r>
              <w:t>microfracture</w:t>
            </w:r>
          </w:p>
          <w:p w14:paraId="106FA75E" w14:textId="5A4DA6C3" w:rsidR="004A12CD" w:rsidRDefault="007046DE" w:rsidP="00EF5E16">
            <w:pPr>
              <w:pStyle w:val="TableText0"/>
              <w:spacing w:before="0" w:after="0"/>
            </w:pPr>
            <w:r>
              <w:t>Comparator for lesions &gt;</w:t>
            </w:r>
            <w:r w:rsidR="00886656">
              <w:t xml:space="preserve"> </w:t>
            </w:r>
            <w:r>
              <w:t>4</w:t>
            </w:r>
            <w:r w:rsidR="008F7E5B">
              <w:t xml:space="preserve"> </w:t>
            </w:r>
            <w:r w:rsidR="008F7E5B" w:rsidRPr="0035076F">
              <w:t>cm²</w:t>
            </w:r>
            <w:r>
              <w:t xml:space="preserve"> to &lt; 20 </w:t>
            </w:r>
            <w:r w:rsidR="008F7E5B" w:rsidRPr="0035076F">
              <w:t>cm²</w:t>
            </w:r>
            <w:r w:rsidR="00B677CF">
              <w:t>:</w:t>
            </w:r>
          </w:p>
          <w:p w14:paraId="7E690E4B" w14:textId="1106D445" w:rsidR="00330603" w:rsidRPr="00D52956" w:rsidRDefault="007046DE" w:rsidP="0035076F">
            <w:pPr>
              <w:pStyle w:val="TableText0"/>
              <w:numPr>
                <w:ilvl w:val="0"/>
                <w:numId w:val="20"/>
              </w:numPr>
              <w:spacing w:before="0"/>
            </w:pPr>
            <w:r>
              <w:t>w</w:t>
            </w:r>
            <w:r w:rsidR="00B677CF">
              <w:t>at</w:t>
            </w:r>
            <w:r w:rsidR="008A3463">
              <w:t>chful waiting (with conservative treatment)</w:t>
            </w:r>
          </w:p>
        </w:tc>
      </w:tr>
      <w:tr w:rsidR="00FD7D5C" w14:paraId="591B1D2D" w14:textId="77777777" w:rsidTr="00BB1698">
        <w:tc>
          <w:tcPr>
            <w:tcW w:w="1005" w:type="pct"/>
            <w:tcBorders>
              <w:top w:val="single" w:sz="4" w:space="0" w:color="auto"/>
              <w:left w:val="single" w:sz="8" w:space="0" w:color="auto"/>
              <w:bottom w:val="single" w:sz="4" w:space="0" w:color="auto"/>
              <w:right w:val="single" w:sz="4" w:space="0" w:color="auto"/>
            </w:tcBorders>
            <w:hideMark/>
          </w:tcPr>
          <w:p w14:paraId="635F9D15" w14:textId="77777777" w:rsidR="006478E7" w:rsidRPr="00490FBB" w:rsidRDefault="007046DE" w:rsidP="000A2F95">
            <w:pPr>
              <w:pStyle w:val="Tabletext"/>
            </w:pPr>
            <w:r w:rsidRPr="00490FBB">
              <w:t>Outcomes</w:t>
            </w:r>
          </w:p>
        </w:tc>
        <w:tc>
          <w:tcPr>
            <w:tcW w:w="3995" w:type="pct"/>
            <w:tcBorders>
              <w:top w:val="single" w:sz="4" w:space="0" w:color="auto"/>
              <w:left w:val="single" w:sz="4" w:space="0" w:color="auto"/>
              <w:bottom w:val="single" w:sz="4" w:space="0" w:color="auto"/>
              <w:right w:val="single" w:sz="4" w:space="0" w:color="auto"/>
            </w:tcBorders>
            <w:hideMark/>
          </w:tcPr>
          <w:p w14:paraId="1175C1BE" w14:textId="29205744" w:rsidR="006478E7" w:rsidRPr="001264F8" w:rsidRDefault="007046DE" w:rsidP="00C44215">
            <w:pPr>
              <w:pStyle w:val="TableText0"/>
              <w:spacing w:after="0"/>
              <w:rPr>
                <w:b/>
                <w:bCs/>
              </w:rPr>
            </w:pPr>
            <w:r w:rsidRPr="001264F8">
              <w:rPr>
                <w:b/>
                <w:bCs/>
              </w:rPr>
              <w:t>Safety outcomes</w:t>
            </w:r>
          </w:p>
          <w:p w14:paraId="5B1706C7" w14:textId="681A073D" w:rsidR="007829A1" w:rsidRDefault="007046DE" w:rsidP="00064E46">
            <w:pPr>
              <w:pStyle w:val="TableText0"/>
              <w:numPr>
                <w:ilvl w:val="0"/>
                <w:numId w:val="21"/>
              </w:numPr>
              <w:spacing w:before="0" w:after="0"/>
            </w:pPr>
            <w:r>
              <w:t xml:space="preserve">serious </w:t>
            </w:r>
            <w:r w:rsidR="00392990">
              <w:t>adverse events such as</w:t>
            </w:r>
            <w:r w:rsidR="00276E94">
              <w:t xml:space="preserve"> arthralgia, </w:t>
            </w:r>
            <w:r>
              <w:t>cartilage injury</w:t>
            </w:r>
            <w:r w:rsidR="00276E94">
              <w:t xml:space="preserve">, </w:t>
            </w:r>
            <w:r>
              <w:t>meniscus injury</w:t>
            </w:r>
            <w:r w:rsidR="00276E94">
              <w:t xml:space="preserve"> and </w:t>
            </w:r>
            <w:r w:rsidR="005F4238">
              <w:t xml:space="preserve">development of </w:t>
            </w:r>
            <w:r>
              <w:t>osteoarthritis</w:t>
            </w:r>
          </w:p>
          <w:p w14:paraId="6C657146" w14:textId="1E85D367" w:rsidR="00307C48" w:rsidRDefault="007046DE" w:rsidP="00064E46">
            <w:pPr>
              <w:pStyle w:val="TableText0"/>
              <w:numPr>
                <w:ilvl w:val="0"/>
                <w:numId w:val="21"/>
              </w:numPr>
              <w:spacing w:before="0" w:after="0"/>
            </w:pPr>
            <w:r>
              <w:t>device-related adverse events</w:t>
            </w:r>
          </w:p>
          <w:p w14:paraId="17278188" w14:textId="098DC5FB" w:rsidR="00676E4D" w:rsidRDefault="007046DE" w:rsidP="00064E46">
            <w:pPr>
              <w:pStyle w:val="TableText0"/>
              <w:numPr>
                <w:ilvl w:val="0"/>
                <w:numId w:val="21"/>
              </w:numPr>
              <w:spacing w:before="0" w:after="0"/>
            </w:pPr>
            <w:r>
              <w:t>surg</w:t>
            </w:r>
            <w:r w:rsidRPr="00676E4D">
              <w:t>ery-related adverse events</w:t>
            </w:r>
          </w:p>
          <w:p w14:paraId="6D964095" w14:textId="1E03345B" w:rsidR="006478E7" w:rsidRDefault="007046DE" w:rsidP="00A90D39">
            <w:pPr>
              <w:pStyle w:val="TableText0"/>
              <w:spacing w:before="120" w:after="0"/>
              <w:rPr>
                <w:b/>
                <w:bCs/>
              </w:rPr>
            </w:pPr>
            <w:r w:rsidRPr="001264F8">
              <w:rPr>
                <w:b/>
                <w:bCs/>
              </w:rPr>
              <w:t>Efficacy/effectiveness outcomes</w:t>
            </w:r>
          </w:p>
          <w:p w14:paraId="17E9B1FE" w14:textId="60AFB61C" w:rsidR="00F960CD" w:rsidRPr="00D30162" w:rsidRDefault="007046DE" w:rsidP="00002A93">
            <w:pPr>
              <w:pStyle w:val="TableText0"/>
              <w:numPr>
                <w:ilvl w:val="0"/>
                <w:numId w:val="21"/>
              </w:numPr>
              <w:spacing w:before="20" w:after="0"/>
            </w:pPr>
            <w:r w:rsidRPr="00D30162">
              <w:t>knee</w:t>
            </w:r>
            <w:r w:rsidR="002B684A" w:rsidRPr="00D30162">
              <w:t>-specific f</w:t>
            </w:r>
            <w:r w:rsidR="00ED6175" w:rsidRPr="00D30162">
              <w:t xml:space="preserve">unctional </w:t>
            </w:r>
            <w:r w:rsidR="00066D1D" w:rsidRPr="00D30162">
              <w:t>measures</w:t>
            </w:r>
            <w:r w:rsidR="00ED6175" w:rsidRPr="00D30162">
              <w:t xml:space="preserve"> such as:</w:t>
            </w:r>
            <w:r w:rsidR="00B14EED" w:rsidRPr="00D30162">
              <w:t xml:space="preserve"> </w:t>
            </w:r>
            <w:r w:rsidR="00ED6175" w:rsidRPr="00D30162">
              <w:t>Knee Injury and Osteoarthritis Outcome Score (KOOS)</w:t>
            </w:r>
            <w:r w:rsidR="00B14EED" w:rsidRPr="00D30162">
              <w:t xml:space="preserve">; </w:t>
            </w:r>
            <w:r w:rsidR="00E802AF" w:rsidRPr="00D30162">
              <w:t xml:space="preserve">Lysholm </w:t>
            </w:r>
            <w:r w:rsidR="00CD68E2" w:rsidRPr="00D30162">
              <w:t>Knee Score</w:t>
            </w:r>
            <w:r w:rsidR="00B14EED" w:rsidRPr="00D30162">
              <w:t xml:space="preserve">; </w:t>
            </w:r>
            <w:r w:rsidR="001E0A67" w:rsidRPr="00D30162">
              <w:t>Tegner Activity Level Scale</w:t>
            </w:r>
            <w:r w:rsidR="00B14EED" w:rsidRPr="00D30162">
              <w:t xml:space="preserve">; </w:t>
            </w:r>
            <w:r w:rsidR="00AA723F" w:rsidRPr="00D30162">
              <w:t>Cincinnati Knee Rating Score</w:t>
            </w:r>
            <w:r w:rsidR="00AA723F">
              <w:t xml:space="preserve"> (CKRS)</w:t>
            </w:r>
            <w:r w:rsidR="00B14EED" w:rsidRPr="00D30162">
              <w:t xml:space="preserve">; </w:t>
            </w:r>
            <w:r w:rsidRPr="00D30162">
              <w:t xml:space="preserve">International Knee Documentation Committee (IKDC) </w:t>
            </w:r>
            <w:r w:rsidR="00A964DB">
              <w:t>Subjective Knee Score</w:t>
            </w:r>
          </w:p>
          <w:p w14:paraId="13240B85" w14:textId="2AFD2589" w:rsidR="00F541BD" w:rsidRPr="00D30162" w:rsidRDefault="007046DE" w:rsidP="00002A93">
            <w:pPr>
              <w:pStyle w:val="TableText0"/>
              <w:numPr>
                <w:ilvl w:val="0"/>
                <w:numId w:val="21"/>
              </w:numPr>
              <w:spacing w:before="20" w:after="0"/>
            </w:pPr>
            <w:r w:rsidRPr="00D30162">
              <w:t xml:space="preserve">other </w:t>
            </w:r>
            <w:r w:rsidR="001340C4" w:rsidRPr="00D30162">
              <w:t xml:space="preserve">functional </w:t>
            </w:r>
            <w:r w:rsidR="00BA12E3" w:rsidRPr="00D30162">
              <w:t>outcomes</w:t>
            </w:r>
            <w:r w:rsidR="001340C4" w:rsidRPr="00D30162">
              <w:t xml:space="preserve"> such as</w:t>
            </w:r>
            <w:r w:rsidR="006B5D0F" w:rsidRPr="00D30162">
              <w:t xml:space="preserve"> the ‘</w:t>
            </w:r>
            <w:r w:rsidRPr="00D30162">
              <w:t>Six-minute walk test</w:t>
            </w:r>
            <w:r w:rsidR="006B5D0F" w:rsidRPr="00D30162">
              <w:t>’</w:t>
            </w:r>
          </w:p>
          <w:p w14:paraId="1094F77C" w14:textId="68F2DF0D" w:rsidR="004972C3" w:rsidRPr="00D30162" w:rsidRDefault="007046DE" w:rsidP="00002A93">
            <w:pPr>
              <w:pStyle w:val="TableText0"/>
              <w:numPr>
                <w:ilvl w:val="0"/>
                <w:numId w:val="21"/>
              </w:numPr>
              <w:spacing w:before="20" w:after="0"/>
            </w:pPr>
            <w:r w:rsidRPr="00D30162">
              <w:t>quality</w:t>
            </w:r>
            <w:r w:rsidR="00573A2B" w:rsidRPr="00D30162">
              <w:t>-of-life measures such as</w:t>
            </w:r>
            <w:r w:rsidR="006B5D0F" w:rsidRPr="00D30162">
              <w:t xml:space="preserve"> </w:t>
            </w:r>
            <w:r w:rsidR="000E5541" w:rsidRPr="006B54DC">
              <w:t>EuroQuol Group 5-Dimension Self Report Questionnaire</w:t>
            </w:r>
            <w:r w:rsidR="00257090">
              <w:t xml:space="preserve"> </w:t>
            </w:r>
            <w:r w:rsidR="00CD2104">
              <w:t>(</w:t>
            </w:r>
            <w:r w:rsidR="00573A2B" w:rsidRPr="00D30162">
              <w:t>EQ</w:t>
            </w:r>
            <w:r w:rsidR="006B54DC" w:rsidRPr="00D30162">
              <w:t>-</w:t>
            </w:r>
            <w:r w:rsidR="00573A2B" w:rsidRPr="00D30162">
              <w:t>5D</w:t>
            </w:r>
            <w:r w:rsidR="00CD2104">
              <w:t>)</w:t>
            </w:r>
            <w:r w:rsidR="006B5D0F" w:rsidRPr="00D30162">
              <w:t xml:space="preserve"> and </w:t>
            </w:r>
            <w:r w:rsidR="00257090" w:rsidRPr="00292074">
              <w:t>Short Form-36</w:t>
            </w:r>
            <w:r w:rsidR="00257090">
              <w:t xml:space="preserve"> </w:t>
            </w:r>
            <w:r w:rsidR="00E475F6">
              <w:t>(</w:t>
            </w:r>
            <w:r w:rsidRPr="00D30162">
              <w:t>SF-36</w:t>
            </w:r>
            <w:r w:rsidR="00E475F6">
              <w:t>)</w:t>
            </w:r>
          </w:p>
          <w:p w14:paraId="6F537795" w14:textId="4101B442" w:rsidR="00210811" w:rsidRDefault="007046DE" w:rsidP="00002A93">
            <w:pPr>
              <w:pStyle w:val="TableText0"/>
              <w:numPr>
                <w:ilvl w:val="0"/>
                <w:numId w:val="21"/>
              </w:numPr>
              <w:spacing w:before="20" w:after="0"/>
            </w:pPr>
            <w:r w:rsidRPr="00D30162">
              <w:t>pain measures (</w:t>
            </w:r>
            <w:r w:rsidR="005B7030" w:rsidRPr="00D30162">
              <w:t xml:space="preserve">e.g. </w:t>
            </w:r>
            <w:r w:rsidR="00905581">
              <w:t xml:space="preserve">visual </w:t>
            </w:r>
            <w:r w:rsidR="003D3735">
              <w:t>analogue</w:t>
            </w:r>
            <w:r w:rsidR="00905581">
              <w:t xml:space="preserve"> scale; </w:t>
            </w:r>
            <w:r w:rsidRPr="00D30162">
              <w:t>VAS)</w:t>
            </w:r>
          </w:p>
          <w:p w14:paraId="5244AF24" w14:textId="2782C21C" w:rsidR="009354A7" w:rsidRPr="00D30162" w:rsidRDefault="007046DE" w:rsidP="00002A93">
            <w:pPr>
              <w:pStyle w:val="TableText0"/>
              <w:numPr>
                <w:ilvl w:val="0"/>
                <w:numId w:val="21"/>
              </w:numPr>
              <w:spacing w:before="20" w:after="0"/>
            </w:pPr>
            <w:r>
              <w:t>subsequent</w:t>
            </w:r>
            <w:r w:rsidR="00945093">
              <w:t xml:space="preserve"> </w:t>
            </w:r>
            <w:r w:rsidR="005671E7">
              <w:t>conservative treatment</w:t>
            </w:r>
            <w:r>
              <w:t xml:space="preserve"> interventions to treat index lesion e.g. corticosteroid injections</w:t>
            </w:r>
          </w:p>
          <w:p w14:paraId="13BC5CE7" w14:textId="1611C2A9" w:rsidR="00D153F1" w:rsidRDefault="007046DE" w:rsidP="00002A93">
            <w:pPr>
              <w:pStyle w:val="TableText0"/>
              <w:numPr>
                <w:ilvl w:val="0"/>
                <w:numId w:val="21"/>
              </w:numPr>
              <w:spacing w:before="20" w:after="0"/>
            </w:pPr>
            <w:r w:rsidRPr="00D30162">
              <w:t xml:space="preserve">subsequent </w:t>
            </w:r>
            <w:r w:rsidR="00945093">
              <w:t xml:space="preserve">surgical </w:t>
            </w:r>
            <w:r w:rsidR="00B74C67" w:rsidRPr="00D30162">
              <w:t>procedures</w:t>
            </w:r>
            <w:r w:rsidR="006B5D0F" w:rsidRPr="00D30162">
              <w:t xml:space="preserve"> </w:t>
            </w:r>
            <w:r w:rsidR="00E34619">
              <w:t>to treat</w:t>
            </w:r>
            <w:r w:rsidR="00AD13DE">
              <w:t xml:space="preserve"> index lesion</w:t>
            </w:r>
          </w:p>
          <w:p w14:paraId="16DCF7B8" w14:textId="4FC9EEBD" w:rsidR="00B74C67" w:rsidRDefault="007046DE" w:rsidP="00002A93">
            <w:pPr>
              <w:pStyle w:val="TableText0"/>
              <w:numPr>
                <w:ilvl w:val="0"/>
                <w:numId w:val="21"/>
              </w:numPr>
              <w:spacing w:before="20" w:after="0"/>
            </w:pPr>
            <w:r>
              <w:t>rates of progre</w:t>
            </w:r>
            <w:r w:rsidR="00DB432A">
              <w:t xml:space="preserve">ssion to </w:t>
            </w:r>
            <w:r w:rsidR="00D153F1" w:rsidRPr="00D30162">
              <w:t xml:space="preserve">joint </w:t>
            </w:r>
            <w:r w:rsidR="00296966" w:rsidRPr="00D30162">
              <w:t>replacement (i.e. t</w:t>
            </w:r>
            <w:r w:rsidR="00027C82" w:rsidRPr="00D30162">
              <w:t xml:space="preserve">otal </w:t>
            </w:r>
            <w:r w:rsidRPr="00D30162">
              <w:t>or partial knee arthroplasty</w:t>
            </w:r>
            <w:r w:rsidR="00296966" w:rsidRPr="00D30162">
              <w:t>)</w:t>
            </w:r>
          </w:p>
          <w:p w14:paraId="32459015" w14:textId="7B6FE317" w:rsidR="00CA3D3C" w:rsidRPr="00D30162" w:rsidRDefault="007046DE" w:rsidP="00002A93">
            <w:pPr>
              <w:pStyle w:val="TableText0"/>
              <w:numPr>
                <w:ilvl w:val="0"/>
                <w:numId w:val="21"/>
              </w:numPr>
              <w:spacing w:before="20" w:after="0"/>
            </w:pPr>
            <w:r>
              <w:t>compound treatment failure outcomes using any of the above</w:t>
            </w:r>
          </w:p>
          <w:p w14:paraId="38387490" w14:textId="365E7067" w:rsidR="006478E7" w:rsidRDefault="007046DE" w:rsidP="00A90D39">
            <w:pPr>
              <w:pStyle w:val="TableText0"/>
              <w:spacing w:before="120" w:after="0"/>
              <w:rPr>
                <w:b/>
                <w:bCs/>
              </w:rPr>
            </w:pPr>
            <w:r w:rsidRPr="005A60ED">
              <w:rPr>
                <w:b/>
                <w:bCs/>
              </w:rPr>
              <w:t xml:space="preserve">Health </w:t>
            </w:r>
            <w:r w:rsidR="00D83062" w:rsidRPr="005A60ED">
              <w:rPr>
                <w:b/>
                <w:bCs/>
              </w:rPr>
              <w:t>care resources</w:t>
            </w:r>
          </w:p>
          <w:p w14:paraId="6587321A" w14:textId="040928C9" w:rsidR="00AF4B7C" w:rsidRDefault="007046DE" w:rsidP="00F301EC">
            <w:pPr>
              <w:pStyle w:val="TableText0"/>
              <w:numPr>
                <w:ilvl w:val="0"/>
                <w:numId w:val="21"/>
              </w:numPr>
              <w:spacing w:before="0" w:after="0"/>
            </w:pPr>
            <w:r>
              <w:t xml:space="preserve">cost </w:t>
            </w:r>
            <w:r w:rsidR="002A6ABE">
              <w:t xml:space="preserve">of </w:t>
            </w:r>
            <w:r w:rsidR="00C96401">
              <w:t>ACI</w:t>
            </w:r>
            <w:r w:rsidR="008A796C">
              <w:t xml:space="preserve"> and associated materials (i.e. collagen matrix</w:t>
            </w:r>
            <w:r w:rsidR="00AA6488">
              <w:t xml:space="preserve"> scaffold and fibrin glue)</w:t>
            </w:r>
          </w:p>
          <w:p w14:paraId="1EE3F7D8" w14:textId="5F0FA4FC" w:rsidR="005A60ED" w:rsidRPr="005A60ED" w:rsidRDefault="007046DE" w:rsidP="00F301EC">
            <w:pPr>
              <w:pStyle w:val="TableText0"/>
              <w:numPr>
                <w:ilvl w:val="0"/>
                <w:numId w:val="21"/>
              </w:numPr>
              <w:spacing w:before="0" w:after="0"/>
            </w:pPr>
            <w:r>
              <w:t xml:space="preserve">cost </w:t>
            </w:r>
            <w:r w:rsidR="00AF4B7C">
              <w:t>of procedure (i.e. proposed service fee; anaesthetist services; theatre/admission costs, including consumables)</w:t>
            </w:r>
          </w:p>
          <w:p w14:paraId="68DC8975" w14:textId="7E83E1F9" w:rsidR="006478E7" w:rsidRPr="000D0EC9" w:rsidRDefault="007046DE" w:rsidP="008C1F2B">
            <w:pPr>
              <w:pStyle w:val="TableText0"/>
              <w:spacing w:before="80" w:after="0"/>
              <w:rPr>
                <w:b/>
                <w:bCs/>
              </w:rPr>
            </w:pPr>
            <w:r w:rsidRPr="000D0EC9">
              <w:rPr>
                <w:b/>
                <w:bCs/>
              </w:rPr>
              <w:t>Cost-effectiveness</w:t>
            </w:r>
          </w:p>
          <w:p w14:paraId="6F9242D7" w14:textId="5EA0C121" w:rsidR="00E01349" w:rsidRPr="00D52956" w:rsidRDefault="007046DE" w:rsidP="00960CDE">
            <w:pPr>
              <w:pStyle w:val="TableText0"/>
              <w:spacing w:before="80" w:after="120"/>
            </w:pPr>
            <w:r w:rsidRPr="000D0EC9">
              <w:rPr>
                <w:b/>
                <w:bCs/>
              </w:rPr>
              <w:t xml:space="preserve">Total </w:t>
            </w:r>
            <w:r w:rsidR="006478E7" w:rsidRPr="000D0EC9">
              <w:rPr>
                <w:b/>
                <w:bCs/>
              </w:rPr>
              <w:t>Austral</w:t>
            </w:r>
            <w:r w:rsidR="00D83062" w:rsidRPr="000D0EC9">
              <w:rPr>
                <w:b/>
                <w:bCs/>
              </w:rPr>
              <w:t>ian Government health</w:t>
            </w:r>
            <w:r w:rsidR="0065205D" w:rsidRPr="000D0EC9">
              <w:rPr>
                <w:b/>
                <w:bCs/>
              </w:rPr>
              <w:t xml:space="preserve"> </w:t>
            </w:r>
            <w:r w:rsidR="00D83062" w:rsidRPr="000D0EC9">
              <w:rPr>
                <w:b/>
                <w:bCs/>
              </w:rPr>
              <w:t>care costs</w:t>
            </w:r>
          </w:p>
        </w:tc>
      </w:tr>
    </w:tbl>
    <w:p w14:paraId="6174E0AA" w14:textId="77777777" w:rsidR="00F63741" w:rsidRDefault="00F63741">
      <w:r>
        <w:br w:type="page"/>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A0" w:firstRow="1" w:lastRow="0" w:firstColumn="1" w:lastColumn="0" w:noHBand="0" w:noVBand="0"/>
        <w:tblCaption w:val="Table 1 PICO for autologous chondrocyte implantation (ACI) in patients with symptomatic chondral defects of the knee: PICO Set 1"/>
        <w:tblDescription w:val="Table lists the population, intervetion, comparator and outcomes for the application, as well as economic inputs and the assessment question."/>
      </w:tblPr>
      <w:tblGrid>
        <w:gridCol w:w="1923"/>
        <w:gridCol w:w="7643"/>
      </w:tblGrid>
      <w:tr w:rsidR="00FD7D5C" w14:paraId="4A55FFDB" w14:textId="77777777" w:rsidTr="006478E7">
        <w:tc>
          <w:tcPr>
            <w:tcW w:w="1005" w:type="pct"/>
            <w:tcBorders>
              <w:top w:val="single" w:sz="4" w:space="0" w:color="auto"/>
              <w:left w:val="single" w:sz="8" w:space="0" w:color="auto"/>
              <w:bottom w:val="single" w:sz="8" w:space="0" w:color="auto"/>
              <w:right w:val="single" w:sz="4" w:space="0" w:color="auto"/>
            </w:tcBorders>
          </w:tcPr>
          <w:p w14:paraId="003B36EC" w14:textId="041980F5" w:rsidR="00BB1698" w:rsidRPr="00490FBB" w:rsidRDefault="007046DE" w:rsidP="000A2F95">
            <w:pPr>
              <w:pStyle w:val="Tabletext"/>
            </w:pPr>
            <w:r w:rsidRPr="00490FBB">
              <w:lastRenderedPageBreak/>
              <w:t>Assessment question</w:t>
            </w:r>
          </w:p>
        </w:tc>
        <w:tc>
          <w:tcPr>
            <w:tcW w:w="3995" w:type="pct"/>
            <w:tcBorders>
              <w:top w:val="single" w:sz="4" w:space="0" w:color="auto"/>
              <w:left w:val="single" w:sz="4" w:space="0" w:color="auto"/>
              <w:bottom w:val="single" w:sz="4" w:space="0" w:color="auto"/>
              <w:right w:val="single" w:sz="4" w:space="0" w:color="auto"/>
            </w:tcBorders>
          </w:tcPr>
          <w:p w14:paraId="4104FC86" w14:textId="5A20BF8A" w:rsidR="00BF603C" w:rsidRDefault="007046DE" w:rsidP="00947E44">
            <w:pPr>
              <w:pStyle w:val="TableText0"/>
            </w:pPr>
            <w:r w:rsidRPr="00FD4C65">
              <w:rPr>
                <w:color w:val="000000" w:themeColor="text1"/>
              </w:rPr>
              <w:t>What</w:t>
            </w:r>
            <w:r w:rsidRPr="00490FBB">
              <w:rPr>
                <w:color w:val="000000" w:themeColor="text1"/>
              </w:rPr>
              <w:t xml:space="preserve"> is the safety, effectiveness</w:t>
            </w:r>
            <w:r w:rsidR="00FD1300">
              <w:rPr>
                <w:color w:val="000000" w:themeColor="text1"/>
              </w:rPr>
              <w:t>,</w:t>
            </w:r>
            <w:r w:rsidRPr="00490FBB">
              <w:rPr>
                <w:color w:val="000000" w:themeColor="text1"/>
              </w:rPr>
              <w:t xml:space="preserve"> cost-effectiveness</w:t>
            </w:r>
            <w:r w:rsidR="00FD1300">
              <w:rPr>
                <w:color w:val="000000" w:themeColor="text1"/>
              </w:rPr>
              <w:t xml:space="preserve"> and to</w:t>
            </w:r>
            <w:r w:rsidR="003A6AA2">
              <w:rPr>
                <w:color w:val="000000" w:themeColor="text1"/>
              </w:rPr>
              <w:t>tal costs</w:t>
            </w:r>
            <w:r w:rsidRPr="00490FBB">
              <w:rPr>
                <w:color w:val="000000" w:themeColor="text1"/>
              </w:rPr>
              <w:t xml:space="preserve"> of</w:t>
            </w:r>
            <w:r w:rsidR="00B46C2A">
              <w:rPr>
                <w:color w:val="000000" w:themeColor="text1"/>
              </w:rPr>
              <w:t xml:space="preserve"> ACI</w:t>
            </w:r>
            <w:r w:rsidRPr="00490FBB">
              <w:rPr>
                <w:color w:val="000000" w:themeColor="text1"/>
              </w:rPr>
              <w:t xml:space="preserve"> </w:t>
            </w:r>
            <w:r w:rsidR="00E63909">
              <w:t>using a collagen matrix scaffold</w:t>
            </w:r>
            <w:r w:rsidR="00E63909" w:rsidRPr="00490FBB">
              <w:rPr>
                <w:color w:val="000000" w:themeColor="text1"/>
              </w:rPr>
              <w:t xml:space="preserve"> </w:t>
            </w:r>
            <w:r w:rsidRPr="00490FBB">
              <w:rPr>
                <w:color w:val="000000" w:themeColor="text1"/>
              </w:rPr>
              <w:t>versu</w:t>
            </w:r>
            <w:r w:rsidR="00B46C2A">
              <w:rPr>
                <w:color w:val="000000" w:themeColor="text1"/>
              </w:rPr>
              <w:t>s microfractur</w:t>
            </w:r>
            <w:r w:rsidR="00A50557">
              <w:rPr>
                <w:color w:val="000000" w:themeColor="text1"/>
              </w:rPr>
              <w:t xml:space="preserve">e </w:t>
            </w:r>
            <w:r w:rsidRPr="00490FBB">
              <w:rPr>
                <w:color w:val="000000" w:themeColor="text1"/>
              </w:rPr>
              <w:t>in</w:t>
            </w:r>
            <w:r w:rsidR="00B46C2A">
              <w:rPr>
                <w:color w:val="000000" w:themeColor="text1"/>
              </w:rPr>
              <w:t xml:space="preserve"> patients</w:t>
            </w:r>
            <w:r w:rsidRPr="00490FBB">
              <w:rPr>
                <w:color w:val="000000" w:themeColor="text1"/>
              </w:rPr>
              <w:t xml:space="preserve"> </w:t>
            </w:r>
            <w:r w:rsidR="00465442">
              <w:t xml:space="preserve">who have failed conservative treatment </w:t>
            </w:r>
            <w:r w:rsidR="006B15EB">
              <w:t>of symptomatic</w:t>
            </w:r>
            <w:r w:rsidR="00E63909">
              <w:t>,</w:t>
            </w:r>
            <w:r w:rsidR="006B15EB">
              <w:t xml:space="preserve"> </w:t>
            </w:r>
            <w:r w:rsidR="00A60796">
              <w:t xml:space="preserve">ICRS grade 3 or 4 </w:t>
            </w:r>
            <w:r w:rsidR="00B46C2A">
              <w:t>focal chondral</w:t>
            </w:r>
            <w:r w:rsidR="00A92B90">
              <w:t xml:space="preserve"> or osteochondral</w:t>
            </w:r>
            <w:r w:rsidR="00B46C2A">
              <w:t xml:space="preserve"> defects of the knee </w:t>
            </w:r>
            <w:r w:rsidR="00D30B9D">
              <w:t xml:space="preserve">from </w:t>
            </w:r>
            <w:r w:rsidR="00D74AA6">
              <w:t>2</w:t>
            </w:r>
            <w:r>
              <w:t> </w:t>
            </w:r>
            <w:r w:rsidR="00D74AA6">
              <w:t>cm</w:t>
            </w:r>
            <w:r w:rsidR="00A60796">
              <w:t>²</w:t>
            </w:r>
            <w:r w:rsidR="00D74AA6">
              <w:t xml:space="preserve"> </w:t>
            </w:r>
            <w:r w:rsidR="00D30B9D">
              <w:t xml:space="preserve">to </w:t>
            </w:r>
            <w:r w:rsidR="00FE422D">
              <w:t>4</w:t>
            </w:r>
            <w:r>
              <w:t> </w:t>
            </w:r>
            <w:r w:rsidR="00D74AA6">
              <w:t>cm</w:t>
            </w:r>
            <w:r w:rsidR="00A60796">
              <w:t>²</w:t>
            </w:r>
            <w:r w:rsidR="00B243F9">
              <w:t xml:space="preserve"> in size</w:t>
            </w:r>
            <w:r w:rsidR="00AD44E6">
              <w:t>?</w:t>
            </w:r>
          </w:p>
          <w:p w14:paraId="7AB69A9A" w14:textId="03663960" w:rsidR="00753F0E" w:rsidRPr="008924F3" w:rsidRDefault="007046DE" w:rsidP="00002A93">
            <w:pPr>
              <w:pStyle w:val="TableText0"/>
              <w:spacing w:before="120" w:after="0"/>
            </w:pPr>
            <w:r w:rsidRPr="00FD4C65">
              <w:rPr>
                <w:color w:val="000000" w:themeColor="text1"/>
              </w:rPr>
              <w:t>What</w:t>
            </w:r>
            <w:r w:rsidRPr="00490FBB">
              <w:rPr>
                <w:color w:val="000000" w:themeColor="text1"/>
              </w:rPr>
              <w:t xml:space="preserve"> is the safety, effectiveness</w:t>
            </w:r>
            <w:r>
              <w:rPr>
                <w:color w:val="000000" w:themeColor="text1"/>
              </w:rPr>
              <w:t>,</w:t>
            </w:r>
            <w:r w:rsidRPr="00490FBB">
              <w:rPr>
                <w:color w:val="000000" w:themeColor="text1"/>
              </w:rPr>
              <w:t xml:space="preserve"> cost-effectiveness</w:t>
            </w:r>
            <w:r>
              <w:rPr>
                <w:color w:val="000000" w:themeColor="text1"/>
              </w:rPr>
              <w:t xml:space="preserve"> and total costs</w:t>
            </w:r>
            <w:r w:rsidRPr="00490FBB">
              <w:rPr>
                <w:color w:val="000000" w:themeColor="text1"/>
              </w:rPr>
              <w:t xml:space="preserve"> of</w:t>
            </w:r>
            <w:r>
              <w:rPr>
                <w:color w:val="000000" w:themeColor="text1"/>
              </w:rPr>
              <w:t xml:space="preserve"> ACI</w:t>
            </w:r>
            <w:r w:rsidRPr="00490FBB">
              <w:rPr>
                <w:color w:val="000000" w:themeColor="text1"/>
              </w:rPr>
              <w:t xml:space="preserve"> </w:t>
            </w:r>
            <w:r>
              <w:t>using a collagen matrix scaffold</w:t>
            </w:r>
            <w:r w:rsidRPr="00490FBB">
              <w:rPr>
                <w:color w:val="000000" w:themeColor="text1"/>
              </w:rPr>
              <w:t xml:space="preserve"> versu</w:t>
            </w:r>
            <w:r>
              <w:rPr>
                <w:color w:val="000000" w:themeColor="text1"/>
              </w:rPr>
              <w:t xml:space="preserve">s </w:t>
            </w:r>
            <w:r w:rsidR="008F164F" w:rsidRPr="008F164F">
              <w:rPr>
                <w:color w:val="000000" w:themeColor="text1"/>
              </w:rPr>
              <w:t>watchful waiting (with conservative treatment)</w:t>
            </w:r>
            <w:r w:rsidR="008F164F">
              <w:rPr>
                <w:color w:val="000000" w:themeColor="text1"/>
              </w:rPr>
              <w:t xml:space="preserve"> </w:t>
            </w:r>
            <w:r w:rsidRPr="00490FBB">
              <w:rPr>
                <w:color w:val="000000" w:themeColor="text1"/>
              </w:rPr>
              <w:t>in</w:t>
            </w:r>
            <w:r>
              <w:rPr>
                <w:color w:val="000000" w:themeColor="text1"/>
              </w:rPr>
              <w:t xml:space="preserve"> patients</w:t>
            </w:r>
            <w:r w:rsidRPr="00490FBB">
              <w:rPr>
                <w:color w:val="000000" w:themeColor="text1"/>
              </w:rPr>
              <w:t xml:space="preserve"> </w:t>
            </w:r>
            <w:r>
              <w:t xml:space="preserve">who have failed conservative treatment of symptomatic, ICRS grade 3 or 4 focal chondral or osteochondral defects of the knee </w:t>
            </w:r>
            <w:r w:rsidR="00D30B9D">
              <w:t>from</w:t>
            </w:r>
            <w:r>
              <w:t xml:space="preserve"> </w:t>
            </w:r>
            <w:r w:rsidR="00D30B9D">
              <w:t>&gt;</w:t>
            </w:r>
            <w:r w:rsidR="00202DE4">
              <w:t> </w:t>
            </w:r>
            <w:r w:rsidR="00D30B9D">
              <w:t>4</w:t>
            </w:r>
            <w:r>
              <w:t xml:space="preserve"> cm² </w:t>
            </w:r>
            <w:r w:rsidR="00C9310F">
              <w:t>to</w:t>
            </w:r>
            <w:r>
              <w:t xml:space="preserve"> </w:t>
            </w:r>
            <w:r w:rsidR="00C9310F">
              <w:t>&lt;</w:t>
            </w:r>
            <w:r w:rsidR="00202DE4">
              <w:t> </w:t>
            </w:r>
            <w:r>
              <w:t>20 cm² in size?</w:t>
            </w:r>
          </w:p>
        </w:tc>
      </w:tr>
    </w:tbl>
    <w:p w14:paraId="3D184BFC" w14:textId="77777777" w:rsidR="005367F7" w:rsidRDefault="007046DE" w:rsidP="005367F7">
      <w:pPr>
        <w:pStyle w:val="Tablenotes"/>
      </w:pPr>
      <w:r>
        <w:t>ACI</w:t>
      </w:r>
      <w:r w:rsidR="00185EF5">
        <w:t xml:space="preserve"> = a</w:t>
      </w:r>
      <w:r w:rsidR="00185EF5" w:rsidRPr="00185EF5">
        <w:t>utologous chondrocyte implantation</w:t>
      </w:r>
      <w:r w:rsidR="00185EF5">
        <w:t xml:space="preserve">; </w:t>
      </w:r>
      <w:r w:rsidR="007C075A">
        <w:t xml:space="preserve">ICRS = </w:t>
      </w:r>
      <w:r w:rsidR="007C075A" w:rsidRPr="008D3473">
        <w:t>International Cartilage Repair Society</w:t>
      </w:r>
      <w:r w:rsidR="007C075A">
        <w:t>.</w:t>
      </w:r>
    </w:p>
    <w:p w14:paraId="59A97161" w14:textId="2CC0120C" w:rsidR="005367F7" w:rsidRPr="00FD4C65" w:rsidRDefault="007046DE" w:rsidP="005367F7">
      <w:pPr>
        <w:pStyle w:val="Heading2"/>
      </w:pPr>
      <w:r>
        <w:t>Purpose of application</w:t>
      </w:r>
      <w:r w:rsidRPr="005367F7">
        <w:t xml:space="preserve"> </w:t>
      </w:r>
    </w:p>
    <w:p w14:paraId="3D3F85CE" w14:textId="7A1486D8" w:rsidR="000D6D05" w:rsidRDefault="007046DE" w:rsidP="009E4C24">
      <w:pPr>
        <w:spacing w:after="240"/>
        <w:rPr>
          <w:iCs/>
        </w:rPr>
      </w:pPr>
      <w:r w:rsidRPr="009A3778">
        <w:rPr>
          <w:iCs/>
        </w:rPr>
        <w:t xml:space="preserve">An application </w:t>
      </w:r>
      <w:r w:rsidRPr="00256DAD">
        <w:rPr>
          <w:iCs/>
        </w:rPr>
        <w:t>requesting Medicare Benefits Schedule (MBS) listing</w:t>
      </w:r>
      <w:r w:rsidR="00B761D4">
        <w:rPr>
          <w:iCs/>
        </w:rPr>
        <w:t xml:space="preserve"> of </w:t>
      </w:r>
      <w:r w:rsidR="006A6AD5">
        <w:rPr>
          <w:iCs/>
        </w:rPr>
        <w:t xml:space="preserve">two </w:t>
      </w:r>
      <w:r w:rsidR="00B761D4">
        <w:rPr>
          <w:iCs/>
        </w:rPr>
        <w:t xml:space="preserve">new MBS items </w:t>
      </w:r>
      <w:r w:rsidR="006A6AD5">
        <w:rPr>
          <w:iCs/>
        </w:rPr>
        <w:t>for</w:t>
      </w:r>
      <w:r w:rsidR="00B761D4">
        <w:rPr>
          <w:iCs/>
        </w:rPr>
        <w:t xml:space="preserve"> </w:t>
      </w:r>
      <w:r w:rsidR="004A38F3">
        <w:rPr>
          <w:iCs/>
        </w:rPr>
        <w:t>autologous chondrocyte implantation</w:t>
      </w:r>
      <w:r w:rsidR="00136149">
        <w:rPr>
          <w:iCs/>
        </w:rPr>
        <w:t xml:space="preserve"> (ACI)</w:t>
      </w:r>
      <w:r w:rsidR="00ED38A6">
        <w:rPr>
          <w:iCs/>
        </w:rPr>
        <w:t xml:space="preserve"> </w:t>
      </w:r>
      <w:r w:rsidR="00ED38A6">
        <w:t>using a collagen matrix scaffold</w:t>
      </w:r>
      <w:r w:rsidRPr="009A3778">
        <w:rPr>
          <w:iCs/>
        </w:rPr>
        <w:t xml:space="preserve"> for </w:t>
      </w:r>
      <w:r w:rsidR="004A38F3">
        <w:rPr>
          <w:iCs/>
        </w:rPr>
        <w:t xml:space="preserve">the </w:t>
      </w:r>
      <w:r w:rsidRPr="009A3778">
        <w:rPr>
          <w:iCs/>
        </w:rPr>
        <w:t>treatment of</w:t>
      </w:r>
      <w:r w:rsidR="00F55860">
        <w:rPr>
          <w:iCs/>
        </w:rPr>
        <w:t xml:space="preserve"> symptomatic</w:t>
      </w:r>
      <w:r w:rsidRPr="009A3778">
        <w:rPr>
          <w:iCs/>
        </w:rPr>
        <w:t xml:space="preserve"> </w:t>
      </w:r>
      <w:r w:rsidR="00F55860">
        <w:rPr>
          <w:iCs/>
        </w:rPr>
        <w:t>chondral lesions of the knee</w:t>
      </w:r>
      <w:r w:rsidR="00197B42">
        <w:rPr>
          <w:iCs/>
        </w:rPr>
        <w:t xml:space="preserve"> </w:t>
      </w:r>
      <w:r w:rsidR="00AD170B">
        <w:rPr>
          <w:szCs w:val="20"/>
        </w:rPr>
        <w:t>at least 2 </w:t>
      </w:r>
      <w:r w:rsidR="00AD170B" w:rsidRPr="00960FDA">
        <w:rPr>
          <w:szCs w:val="20"/>
        </w:rPr>
        <w:t>cm²</w:t>
      </w:r>
      <w:r w:rsidR="00AD170B">
        <w:rPr>
          <w:szCs w:val="20"/>
        </w:rPr>
        <w:t xml:space="preserve"> but less than 20 </w:t>
      </w:r>
      <w:r w:rsidR="00AD170B" w:rsidRPr="00960FDA">
        <w:rPr>
          <w:szCs w:val="20"/>
        </w:rPr>
        <w:t>cm²</w:t>
      </w:r>
      <w:r w:rsidR="00AD170B">
        <w:rPr>
          <w:szCs w:val="20"/>
        </w:rPr>
        <w:t xml:space="preserve"> in size</w:t>
      </w:r>
      <w:r w:rsidRPr="009A3778">
        <w:rPr>
          <w:iCs/>
        </w:rPr>
        <w:t xml:space="preserve"> was received from </w:t>
      </w:r>
      <w:r w:rsidR="001E6D2A">
        <w:rPr>
          <w:iCs/>
        </w:rPr>
        <w:t>Wurley Group Pty Ltd</w:t>
      </w:r>
      <w:r w:rsidRPr="009A3778">
        <w:rPr>
          <w:iCs/>
        </w:rPr>
        <w:t xml:space="preserve"> by the Department of Health</w:t>
      </w:r>
      <w:r w:rsidR="00540127">
        <w:rPr>
          <w:iCs/>
        </w:rPr>
        <w:t xml:space="preserve"> and Aged Care</w:t>
      </w:r>
      <w:r w:rsidRPr="009A3778">
        <w:rPr>
          <w:iCs/>
        </w:rPr>
        <w:t>.</w:t>
      </w:r>
      <w:r w:rsidR="00136149">
        <w:rPr>
          <w:iCs/>
        </w:rPr>
        <w:t xml:space="preserve"> </w:t>
      </w:r>
      <w:r w:rsidR="004E628C">
        <w:rPr>
          <w:iCs/>
        </w:rPr>
        <w:t xml:space="preserve">The applicant product is a cellular therapy OrthoACI – which is a registered trademark in Australia. </w:t>
      </w:r>
      <w:r w:rsidR="00136149">
        <w:rPr>
          <w:iCs/>
        </w:rPr>
        <w:t>This is the first application for ACI</w:t>
      </w:r>
      <w:r w:rsidR="00D5507D">
        <w:rPr>
          <w:iCs/>
        </w:rPr>
        <w:t xml:space="preserve"> by this </w:t>
      </w:r>
      <w:r w:rsidR="0017547C">
        <w:rPr>
          <w:iCs/>
        </w:rPr>
        <w:t>applicant and</w:t>
      </w:r>
      <w:r w:rsidR="00847D09">
        <w:rPr>
          <w:iCs/>
        </w:rPr>
        <w:t xml:space="preserve"> is </w:t>
      </w:r>
      <w:r w:rsidR="00DF5519">
        <w:rPr>
          <w:iCs/>
        </w:rPr>
        <w:t>for</w:t>
      </w:r>
      <w:r w:rsidR="00847D09">
        <w:rPr>
          <w:iCs/>
        </w:rPr>
        <w:t xml:space="preserve"> ACI </w:t>
      </w:r>
      <w:r w:rsidR="006E15C6">
        <w:rPr>
          <w:iCs/>
        </w:rPr>
        <w:t xml:space="preserve">implanted </w:t>
      </w:r>
      <w:r w:rsidR="00847D09">
        <w:rPr>
          <w:iCs/>
        </w:rPr>
        <w:t>using a collagen matrix scaffold</w:t>
      </w:r>
      <w:r w:rsidR="00D147B6">
        <w:rPr>
          <w:iCs/>
        </w:rPr>
        <w:t>.</w:t>
      </w:r>
      <w:r w:rsidR="00847D09">
        <w:rPr>
          <w:iCs/>
        </w:rPr>
        <w:t xml:space="preserve"> </w:t>
      </w:r>
      <w:r w:rsidR="006E15C6">
        <w:rPr>
          <w:iCs/>
        </w:rPr>
        <w:t xml:space="preserve">This implantation technique has </w:t>
      </w:r>
      <w:r w:rsidR="00E6671B">
        <w:rPr>
          <w:iCs/>
        </w:rPr>
        <w:t xml:space="preserve">typically been referred to by the generic term ‘MACI’, indicating matrix-assisted/induced/applied/guided ACI; however, the term was trademarked in Europe (2013) and the USA (2016) by </w:t>
      </w:r>
      <w:r w:rsidR="00E6671B">
        <w:t xml:space="preserve">Vericel Corporation (Kim et al. 2022). </w:t>
      </w:r>
      <w:r w:rsidR="00E6671B">
        <w:rPr>
          <w:iCs/>
        </w:rPr>
        <w:t xml:space="preserve">The current application refers to the proposed intervention variously as MACI or ACI, but </w:t>
      </w:r>
      <w:r w:rsidR="00387426">
        <w:rPr>
          <w:iCs/>
        </w:rPr>
        <w:t>henceforth</w:t>
      </w:r>
      <w:r w:rsidR="009C34AF">
        <w:rPr>
          <w:iCs/>
        </w:rPr>
        <w:t>, the intervention proposed by the current application</w:t>
      </w:r>
      <w:r w:rsidR="002368F9">
        <w:rPr>
          <w:iCs/>
        </w:rPr>
        <w:t xml:space="preserve"> </w:t>
      </w:r>
      <w:r w:rsidR="00387426">
        <w:rPr>
          <w:iCs/>
        </w:rPr>
        <w:t>will be referred to as matrix-assisted ACI</w:t>
      </w:r>
      <w:r w:rsidR="007B1A69">
        <w:rPr>
          <w:iCs/>
        </w:rPr>
        <w:t xml:space="preserve">. </w:t>
      </w:r>
    </w:p>
    <w:p w14:paraId="50DD07FB" w14:textId="6E9461F8" w:rsidR="00876411" w:rsidRDefault="007046DE" w:rsidP="00F803A3">
      <w:pPr>
        <w:spacing w:after="240"/>
        <w:rPr>
          <w:iCs/>
        </w:rPr>
      </w:pPr>
      <w:r>
        <w:rPr>
          <w:iCs/>
        </w:rPr>
        <w:t xml:space="preserve">Prior </w:t>
      </w:r>
      <w:r w:rsidR="00210626">
        <w:rPr>
          <w:iCs/>
        </w:rPr>
        <w:t xml:space="preserve">PASC and MSAC </w:t>
      </w:r>
      <w:r>
        <w:rPr>
          <w:iCs/>
        </w:rPr>
        <w:t xml:space="preserve">considerations of </w:t>
      </w:r>
      <w:r w:rsidR="00E84867">
        <w:rPr>
          <w:iCs/>
        </w:rPr>
        <w:t xml:space="preserve">various </w:t>
      </w:r>
      <w:r>
        <w:rPr>
          <w:iCs/>
        </w:rPr>
        <w:t>interventions for</w:t>
      </w:r>
      <w:r w:rsidR="00210626">
        <w:rPr>
          <w:iCs/>
        </w:rPr>
        <w:t xml:space="preserve"> </w:t>
      </w:r>
      <w:r w:rsidR="00210626">
        <w:t>chondral and osteochondral lesions of the knee</w:t>
      </w:r>
      <w:r w:rsidR="006D2703">
        <w:t xml:space="preserve"> are listed in </w:t>
      </w:r>
      <w:r w:rsidR="006D2703">
        <w:fldChar w:fldCharType="begin"/>
      </w:r>
      <w:r w:rsidR="006D2703">
        <w:instrText xml:space="preserve"> REF _Ref160720643 \h </w:instrText>
      </w:r>
      <w:r w:rsidR="006D2703">
        <w:fldChar w:fldCharType="separate"/>
      </w:r>
      <w:r w:rsidR="00E602A3">
        <w:t xml:space="preserve">Table </w:t>
      </w:r>
      <w:r w:rsidR="00E602A3">
        <w:rPr>
          <w:noProof/>
        </w:rPr>
        <w:t>2</w:t>
      </w:r>
      <w:r w:rsidR="006D2703">
        <w:fldChar w:fldCharType="end"/>
      </w:r>
      <w:r w:rsidR="006D2703">
        <w:t>.</w:t>
      </w:r>
      <w:r>
        <w:rPr>
          <w:iCs/>
        </w:rPr>
        <w:t xml:space="preserve"> </w:t>
      </w:r>
      <w:r w:rsidR="00D5507D">
        <w:rPr>
          <w:iCs/>
        </w:rPr>
        <w:t xml:space="preserve">In </w:t>
      </w:r>
      <w:r w:rsidR="008557E4">
        <w:rPr>
          <w:iCs/>
        </w:rPr>
        <w:t>December 2010</w:t>
      </w:r>
      <w:r w:rsidR="000D2ED6">
        <w:rPr>
          <w:iCs/>
        </w:rPr>
        <w:t>,</w:t>
      </w:r>
      <w:r w:rsidR="00D5507D">
        <w:rPr>
          <w:iCs/>
        </w:rPr>
        <w:t xml:space="preserve"> MSAC considered a</w:t>
      </w:r>
      <w:r w:rsidR="00F2786F">
        <w:rPr>
          <w:iCs/>
        </w:rPr>
        <w:t>n</w:t>
      </w:r>
      <w:r w:rsidR="0052384A">
        <w:rPr>
          <w:iCs/>
        </w:rPr>
        <w:t xml:space="preserve"> </w:t>
      </w:r>
      <w:r w:rsidR="00361AB5" w:rsidRPr="00C834D5">
        <w:rPr>
          <w:iCs/>
          <w:color w:val="000000" w:themeColor="text1"/>
        </w:rPr>
        <w:t xml:space="preserve">application </w:t>
      </w:r>
      <w:hyperlink r:id="rId8" w:tooltip="Link to MSAC web page for application 1140" w:history="1">
        <w:r w:rsidR="00361AB5" w:rsidRPr="00C834D5">
          <w:rPr>
            <w:rStyle w:val="Hyperlink"/>
            <w:rFonts w:ascii="Calibri" w:hAnsi="Calibri"/>
            <w:iCs/>
            <w:color w:val="000000" w:themeColor="text1"/>
          </w:rPr>
          <w:t>1140</w:t>
        </w:r>
      </w:hyperlink>
      <w:r w:rsidR="00361AB5" w:rsidRPr="00C834D5">
        <w:rPr>
          <w:iCs/>
          <w:color w:val="000000" w:themeColor="text1"/>
        </w:rPr>
        <w:t xml:space="preserve"> for </w:t>
      </w:r>
      <w:r w:rsidR="00361AB5">
        <w:rPr>
          <w:iCs/>
        </w:rPr>
        <w:t>ACI</w:t>
      </w:r>
      <w:r w:rsidR="00EA060A">
        <w:rPr>
          <w:iCs/>
        </w:rPr>
        <w:t>/MACI</w:t>
      </w:r>
      <w:r w:rsidR="00361AB5">
        <w:rPr>
          <w:iCs/>
        </w:rPr>
        <w:t xml:space="preserve"> </w:t>
      </w:r>
      <w:r w:rsidR="003C30F7">
        <w:rPr>
          <w:iCs/>
        </w:rPr>
        <w:t xml:space="preserve">for </w:t>
      </w:r>
      <w:r w:rsidR="00F803A3" w:rsidRPr="00F803A3">
        <w:rPr>
          <w:iCs/>
        </w:rPr>
        <w:t>the treatment of articular cartilage</w:t>
      </w:r>
      <w:r w:rsidR="00F803A3">
        <w:rPr>
          <w:iCs/>
        </w:rPr>
        <w:t xml:space="preserve"> </w:t>
      </w:r>
      <w:r w:rsidR="00F803A3" w:rsidRPr="00F803A3">
        <w:rPr>
          <w:iCs/>
        </w:rPr>
        <w:t>defects</w:t>
      </w:r>
      <w:r w:rsidR="00CC7CBE">
        <w:rPr>
          <w:iCs/>
        </w:rPr>
        <w:t xml:space="preserve"> </w:t>
      </w:r>
      <w:r w:rsidR="009636F9">
        <w:rPr>
          <w:iCs/>
        </w:rPr>
        <w:t>(submitted by</w:t>
      </w:r>
      <w:r w:rsidR="005A3925">
        <w:rPr>
          <w:iCs/>
        </w:rPr>
        <w:t xml:space="preserve"> </w:t>
      </w:r>
      <w:r w:rsidR="009E4C24" w:rsidRPr="009E4C24">
        <w:rPr>
          <w:iCs/>
        </w:rPr>
        <w:t>Genzyme, Biotech Regulatory Solutions and</w:t>
      </w:r>
      <w:r w:rsidR="009E4C24">
        <w:rPr>
          <w:iCs/>
        </w:rPr>
        <w:t xml:space="preserve"> </w:t>
      </w:r>
      <w:r w:rsidR="009E4C24" w:rsidRPr="009E4C24">
        <w:rPr>
          <w:iCs/>
        </w:rPr>
        <w:t>Device Technologies Australia</w:t>
      </w:r>
      <w:r w:rsidR="009636F9">
        <w:rPr>
          <w:iCs/>
        </w:rPr>
        <w:t>)</w:t>
      </w:r>
      <w:r w:rsidR="005E5490">
        <w:rPr>
          <w:iCs/>
        </w:rPr>
        <w:t xml:space="preserve">. </w:t>
      </w:r>
      <w:r w:rsidR="00B33DF0">
        <w:rPr>
          <w:iCs/>
        </w:rPr>
        <w:t>MSAC did not support public funding for the technology at that time due to ‘increased costs compared to existing procedures and the lack of evidence showing short-term or long-term improvements in clinical outcomes’</w:t>
      </w:r>
      <w:r w:rsidR="00B552CE">
        <w:rPr>
          <w:iCs/>
        </w:rPr>
        <w:t>. As a result, i</w:t>
      </w:r>
      <w:r>
        <w:rPr>
          <w:iCs/>
        </w:rPr>
        <w:t xml:space="preserve">n February 2012, the </w:t>
      </w:r>
      <w:r w:rsidR="009A5718">
        <w:rPr>
          <w:iCs/>
        </w:rPr>
        <w:t>technology</w:t>
      </w:r>
      <w:r>
        <w:rPr>
          <w:iCs/>
        </w:rPr>
        <w:t xml:space="preserve"> was removed from the </w:t>
      </w:r>
      <w:r w:rsidR="005F1136">
        <w:rPr>
          <w:iCs/>
        </w:rPr>
        <w:t>Prostheses List</w:t>
      </w:r>
      <w:r w:rsidR="00501791">
        <w:rPr>
          <w:iCs/>
        </w:rPr>
        <w:t xml:space="preserve"> (now the Prescribed List of Medical Devices and Human Tissue Products</w:t>
      </w:r>
      <w:r w:rsidR="00A22635">
        <w:rPr>
          <w:iCs/>
        </w:rPr>
        <w:t xml:space="preserve"> [PL]</w:t>
      </w:r>
      <w:r w:rsidR="005F1136">
        <w:rPr>
          <w:iCs/>
        </w:rPr>
        <w:t>).</w:t>
      </w:r>
    </w:p>
    <w:p w14:paraId="0A7AB326" w14:textId="68757527" w:rsidR="00131875" w:rsidRDefault="007046DE" w:rsidP="003D278F">
      <w:pPr>
        <w:spacing w:after="240"/>
        <w:rPr>
          <w:iCs/>
        </w:rPr>
      </w:pPr>
      <w:r>
        <w:rPr>
          <w:iCs/>
        </w:rPr>
        <w:t xml:space="preserve">In 2012, PASC considered </w:t>
      </w:r>
      <w:r w:rsidR="00C70360" w:rsidRPr="00C834D5">
        <w:rPr>
          <w:iCs/>
          <w:color w:val="000000" w:themeColor="text1"/>
        </w:rPr>
        <w:t xml:space="preserve">application </w:t>
      </w:r>
      <w:hyperlink r:id="rId9" w:tooltip="Link to MSAC web page for application 1273" w:history="1">
        <w:r w:rsidR="00082F74" w:rsidRPr="00C834D5">
          <w:rPr>
            <w:rStyle w:val="Hyperlink"/>
            <w:rFonts w:ascii="Calibri" w:hAnsi="Calibri"/>
            <w:iCs/>
            <w:color w:val="000000" w:themeColor="text1"/>
          </w:rPr>
          <w:t>1273</w:t>
        </w:r>
      </w:hyperlink>
      <w:r w:rsidR="00082F74">
        <w:rPr>
          <w:rStyle w:val="Hyperlink"/>
          <w:rFonts w:ascii="Calibri" w:hAnsi="Calibri"/>
          <w:iCs/>
        </w:rPr>
        <w:t xml:space="preserve"> </w:t>
      </w:r>
      <w:r w:rsidR="00C70360">
        <w:rPr>
          <w:iCs/>
        </w:rPr>
        <w:t>for</w:t>
      </w:r>
      <w:r w:rsidR="007A520C">
        <w:rPr>
          <w:iCs/>
        </w:rPr>
        <w:t xml:space="preserve"> </w:t>
      </w:r>
      <w:r w:rsidR="00934C04">
        <w:rPr>
          <w:iCs/>
        </w:rPr>
        <w:t>this technology</w:t>
      </w:r>
      <w:r w:rsidR="00A72ACE">
        <w:rPr>
          <w:iCs/>
        </w:rPr>
        <w:t xml:space="preserve"> from </w:t>
      </w:r>
      <w:r w:rsidR="00F90303" w:rsidRPr="00F90303">
        <w:rPr>
          <w:iCs/>
        </w:rPr>
        <w:t>Sanofi-Aventis Australia Pty Ltd</w:t>
      </w:r>
      <w:r w:rsidR="00F90303">
        <w:rPr>
          <w:iCs/>
        </w:rPr>
        <w:t xml:space="preserve"> (</w:t>
      </w:r>
      <w:r w:rsidR="003B3A40">
        <w:rPr>
          <w:iCs/>
        </w:rPr>
        <w:t xml:space="preserve">Genzyme </w:t>
      </w:r>
      <w:r w:rsidR="00533FDB">
        <w:rPr>
          <w:iCs/>
        </w:rPr>
        <w:t>is</w:t>
      </w:r>
      <w:r w:rsidR="00E73058">
        <w:rPr>
          <w:iCs/>
        </w:rPr>
        <w:t xml:space="preserve"> a fully owned</w:t>
      </w:r>
      <w:r w:rsidR="0077154D">
        <w:rPr>
          <w:iCs/>
        </w:rPr>
        <w:t xml:space="preserve"> subsidiary of</w:t>
      </w:r>
      <w:r w:rsidR="00121994">
        <w:rPr>
          <w:iCs/>
        </w:rPr>
        <w:t xml:space="preserve"> </w:t>
      </w:r>
      <w:r w:rsidR="00121994" w:rsidRPr="00F90303">
        <w:rPr>
          <w:iCs/>
        </w:rPr>
        <w:t>Sanofi-Aventis</w:t>
      </w:r>
      <w:r w:rsidR="00121994">
        <w:rPr>
          <w:iCs/>
        </w:rPr>
        <w:t>)</w:t>
      </w:r>
      <w:r w:rsidR="00852BB6">
        <w:rPr>
          <w:iCs/>
        </w:rPr>
        <w:t xml:space="preserve">; the Decision Analytic Protocol </w:t>
      </w:r>
      <w:r w:rsidR="00BA06CA">
        <w:rPr>
          <w:iCs/>
        </w:rPr>
        <w:t>(DAP</w:t>
      </w:r>
      <w:r w:rsidR="005148C2">
        <w:rPr>
          <w:iCs/>
        </w:rPr>
        <w:t>, now referred to as a PICO confirmation</w:t>
      </w:r>
      <w:r w:rsidR="00BA06CA">
        <w:rPr>
          <w:iCs/>
        </w:rPr>
        <w:t xml:space="preserve">) </w:t>
      </w:r>
      <w:r w:rsidR="00852BB6">
        <w:rPr>
          <w:iCs/>
        </w:rPr>
        <w:t xml:space="preserve">was published but </w:t>
      </w:r>
      <w:r w:rsidR="00852BB6" w:rsidRPr="00C834D5">
        <w:rPr>
          <w:iCs/>
          <w:color w:val="000000" w:themeColor="text1"/>
        </w:rPr>
        <w:t xml:space="preserve">application </w:t>
      </w:r>
      <w:hyperlink r:id="rId10" w:tooltip="Link to MSAC web page for application 1273" w:history="1">
        <w:r w:rsidR="002C6312" w:rsidRPr="00C834D5">
          <w:rPr>
            <w:rStyle w:val="Hyperlink"/>
            <w:rFonts w:ascii="Calibri" w:hAnsi="Calibri"/>
            <w:iCs/>
            <w:color w:val="000000" w:themeColor="text1"/>
          </w:rPr>
          <w:t>1273</w:t>
        </w:r>
      </w:hyperlink>
      <w:r w:rsidR="002C6312">
        <w:rPr>
          <w:iCs/>
        </w:rPr>
        <w:t xml:space="preserve"> </w:t>
      </w:r>
      <w:r w:rsidR="00852BB6">
        <w:rPr>
          <w:iCs/>
        </w:rPr>
        <w:t>did not progress further.</w:t>
      </w:r>
      <w:r w:rsidR="00D866FE">
        <w:rPr>
          <w:iCs/>
        </w:rPr>
        <w:t xml:space="preserve"> </w:t>
      </w:r>
      <w:r w:rsidR="00D61B46">
        <w:rPr>
          <w:iCs/>
        </w:rPr>
        <w:t xml:space="preserve">At that time, </w:t>
      </w:r>
      <w:r w:rsidR="00D866FE">
        <w:rPr>
          <w:iCs/>
        </w:rPr>
        <w:t xml:space="preserve">PASC </w:t>
      </w:r>
      <w:r w:rsidR="00442991">
        <w:rPr>
          <w:iCs/>
        </w:rPr>
        <w:t>recalled</w:t>
      </w:r>
      <w:r w:rsidR="00D866FE">
        <w:rPr>
          <w:iCs/>
        </w:rPr>
        <w:t xml:space="preserve"> </w:t>
      </w:r>
      <w:r w:rsidR="00A51E8A">
        <w:rPr>
          <w:iCs/>
        </w:rPr>
        <w:t>a key concern</w:t>
      </w:r>
      <w:r w:rsidR="004D6D93">
        <w:rPr>
          <w:iCs/>
        </w:rPr>
        <w:t xml:space="preserve"> raised by MSAC </w:t>
      </w:r>
      <w:r w:rsidR="00A0266D">
        <w:rPr>
          <w:iCs/>
        </w:rPr>
        <w:t xml:space="preserve">in consideration of application 1140 was the </w:t>
      </w:r>
      <w:r w:rsidR="00F849A3">
        <w:rPr>
          <w:iCs/>
        </w:rPr>
        <w:t xml:space="preserve">lack of </w:t>
      </w:r>
      <w:r w:rsidR="00497DC6">
        <w:rPr>
          <w:iCs/>
        </w:rPr>
        <w:t xml:space="preserve">studies reporting </w:t>
      </w:r>
      <w:r w:rsidR="007E37DD">
        <w:rPr>
          <w:iCs/>
        </w:rPr>
        <w:t>follow up over five years</w:t>
      </w:r>
      <w:r w:rsidR="00F9440B">
        <w:rPr>
          <w:iCs/>
        </w:rPr>
        <w:t xml:space="preserve">, and that </w:t>
      </w:r>
      <w:r w:rsidR="00864F2A">
        <w:rPr>
          <w:iCs/>
        </w:rPr>
        <w:t>this would not be addressed by the</w:t>
      </w:r>
      <w:r w:rsidR="006454D6">
        <w:rPr>
          <w:iCs/>
        </w:rPr>
        <w:t xml:space="preserve"> newly proposed application, which would </w:t>
      </w:r>
      <w:r w:rsidR="00DE20AE">
        <w:rPr>
          <w:iCs/>
        </w:rPr>
        <w:t>rely on</w:t>
      </w:r>
      <w:r w:rsidR="00864F2A">
        <w:rPr>
          <w:iCs/>
        </w:rPr>
        <w:t xml:space="preserve"> two-year follow up</w:t>
      </w:r>
      <w:r w:rsidR="00AD7209">
        <w:rPr>
          <w:iCs/>
        </w:rPr>
        <w:t xml:space="preserve"> </w:t>
      </w:r>
      <w:r w:rsidR="00AF7B27">
        <w:rPr>
          <w:iCs/>
        </w:rPr>
        <w:t xml:space="preserve">from the </w:t>
      </w:r>
      <w:r w:rsidR="00275548">
        <w:rPr>
          <w:iCs/>
        </w:rPr>
        <w:t>SUMMIT</w:t>
      </w:r>
      <w:r w:rsidR="00DE20AE">
        <w:rPr>
          <w:iCs/>
        </w:rPr>
        <w:t xml:space="preserve"> </w:t>
      </w:r>
      <w:r w:rsidR="009E2FE7">
        <w:rPr>
          <w:iCs/>
        </w:rPr>
        <w:t>randomised controlled trial (</w:t>
      </w:r>
      <w:r w:rsidR="00DE20AE">
        <w:rPr>
          <w:iCs/>
        </w:rPr>
        <w:t>RCT</w:t>
      </w:r>
      <w:r w:rsidR="009E2FE7">
        <w:rPr>
          <w:iCs/>
        </w:rPr>
        <w:t>)</w:t>
      </w:r>
      <w:r w:rsidR="00872A1C">
        <w:rPr>
          <w:iCs/>
        </w:rPr>
        <w:t xml:space="preserve"> (Saris et al. 2014)</w:t>
      </w:r>
      <w:r w:rsidR="00413397">
        <w:rPr>
          <w:iCs/>
        </w:rPr>
        <w:t>.</w:t>
      </w:r>
      <w:r w:rsidR="006A0FC6">
        <w:rPr>
          <w:iCs/>
        </w:rPr>
        <w:t xml:space="preserve"> </w:t>
      </w:r>
      <w:r w:rsidR="00157A51">
        <w:rPr>
          <w:iCs/>
        </w:rPr>
        <w:t>Five</w:t>
      </w:r>
      <w:r>
        <w:rPr>
          <w:iCs/>
        </w:rPr>
        <w:t>-year follow up</w:t>
      </w:r>
      <w:r w:rsidR="00157A51">
        <w:rPr>
          <w:iCs/>
        </w:rPr>
        <w:t xml:space="preserve"> is now available for</w:t>
      </w:r>
      <w:r>
        <w:rPr>
          <w:iCs/>
        </w:rPr>
        <w:t xml:space="preserve"> the SUMMIT RCT (Brittberg et al. 2018).</w:t>
      </w:r>
    </w:p>
    <w:p w14:paraId="6872B59E" w14:textId="03FA91CA" w:rsidR="008557E4" w:rsidRDefault="007046DE" w:rsidP="008557E4">
      <w:pPr>
        <w:pStyle w:val="Caption"/>
      </w:pPr>
      <w:bookmarkStart w:id="3" w:name="_Ref160720643"/>
      <w:r>
        <w:lastRenderedPageBreak/>
        <w:t xml:space="preserve">Table </w:t>
      </w:r>
      <w:r>
        <w:fldChar w:fldCharType="begin"/>
      </w:r>
      <w:r>
        <w:instrText xml:space="preserve"> SEQ Table \* ARABIC </w:instrText>
      </w:r>
      <w:r>
        <w:fldChar w:fldCharType="separate"/>
      </w:r>
      <w:r w:rsidR="00E602A3">
        <w:rPr>
          <w:noProof/>
        </w:rPr>
        <w:t>2</w:t>
      </w:r>
      <w:r>
        <w:fldChar w:fldCharType="end"/>
      </w:r>
      <w:bookmarkEnd w:id="3"/>
      <w:r>
        <w:tab/>
        <w:t xml:space="preserve">Prior MSAC applications for </w:t>
      </w:r>
      <w:r w:rsidR="004B55B9">
        <w:t xml:space="preserve">surgical interventions to treat </w:t>
      </w:r>
      <w:r>
        <w:t>chondral and osteochondral lesions of the knee</w:t>
      </w:r>
    </w:p>
    <w:tbl>
      <w:tblPr>
        <w:tblStyle w:val="TableGrid"/>
        <w:tblW w:w="5000" w:type="pct"/>
        <w:tblLook w:val="04A0" w:firstRow="1" w:lastRow="0" w:firstColumn="1" w:lastColumn="0" w:noHBand="0" w:noVBand="1"/>
        <w:tblCaption w:val="Table 2 Prior MSAC applications for surgical interventions to treat chondral and osteochondral lesions of the knee"/>
        <w:tblDescription w:val="Table listing four Prior MSAC applications for surgical interventions to treat chondral and osteochondral lesions of the knee"/>
      </w:tblPr>
      <w:tblGrid>
        <w:gridCol w:w="1109"/>
        <w:gridCol w:w="5974"/>
        <w:gridCol w:w="2488"/>
      </w:tblGrid>
      <w:tr w:rsidR="00FD7D5C" w14:paraId="492BF484" w14:textId="77777777" w:rsidTr="0E230E8E">
        <w:tc>
          <w:tcPr>
            <w:tcW w:w="579" w:type="pct"/>
          </w:tcPr>
          <w:p w14:paraId="13AE5102" w14:textId="77777777" w:rsidR="008557E4" w:rsidRPr="009E0E53" w:rsidRDefault="007046DE" w:rsidP="00E60EBC">
            <w:pPr>
              <w:pStyle w:val="TableHeading"/>
              <w:rPr>
                <w:lang w:val="en-GB"/>
              </w:rPr>
            </w:pPr>
            <w:r w:rsidRPr="009E0E53">
              <w:rPr>
                <w:lang w:val="en-GB"/>
              </w:rPr>
              <w:t>Application No.</w:t>
            </w:r>
          </w:p>
        </w:tc>
        <w:tc>
          <w:tcPr>
            <w:tcW w:w="3121" w:type="pct"/>
          </w:tcPr>
          <w:p w14:paraId="21666EB4" w14:textId="0AC09D00" w:rsidR="008557E4" w:rsidRPr="009E0E53" w:rsidRDefault="007046DE" w:rsidP="00E60EBC">
            <w:pPr>
              <w:pStyle w:val="TableHeading"/>
              <w:rPr>
                <w:lang w:val="en-GB"/>
              </w:rPr>
            </w:pPr>
            <w:r>
              <w:rPr>
                <w:lang w:val="en-GB"/>
              </w:rPr>
              <w:t>Title of application</w:t>
            </w:r>
          </w:p>
        </w:tc>
        <w:tc>
          <w:tcPr>
            <w:tcW w:w="1300" w:type="pct"/>
          </w:tcPr>
          <w:p w14:paraId="71B1B2F9" w14:textId="77777777" w:rsidR="008557E4" w:rsidRPr="009E0E53" w:rsidRDefault="007046DE" w:rsidP="00E60EBC">
            <w:pPr>
              <w:pStyle w:val="TableHeading"/>
              <w:rPr>
                <w:lang w:val="en-GB"/>
              </w:rPr>
            </w:pPr>
            <w:r w:rsidRPr="009E0E53">
              <w:rPr>
                <w:lang w:val="en-GB"/>
              </w:rPr>
              <w:t>Meeting date(s)</w:t>
            </w:r>
          </w:p>
        </w:tc>
      </w:tr>
      <w:tr w:rsidR="00FD7D5C" w14:paraId="747D459D" w14:textId="77777777" w:rsidTr="0E230E8E">
        <w:tc>
          <w:tcPr>
            <w:tcW w:w="579" w:type="pct"/>
          </w:tcPr>
          <w:p w14:paraId="365041BF" w14:textId="03B03861" w:rsidR="008557E4" w:rsidRPr="00C834D5" w:rsidRDefault="00997C52" w:rsidP="00E60EBC">
            <w:pPr>
              <w:pStyle w:val="TableText0"/>
              <w:keepNext/>
              <w:spacing w:before="80" w:after="80"/>
              <w:rPr>
                <w:color w:val="000000" w:themeColor="text1"/>
                <w:lang w:val="en-GB" w:eastAsia="ja-JP"/>
              </w:rPr>
            </w:pPr>
            <w:hyperlink r:id="rId11" w:tooltip="Link to MSAC web page for application 1140" w:history="1">
              <w:r w:rsidR="007046DE" w:rsidRPr="00C834D5">
                <w:rPr>
                  <w:rStyle w:val="Hyperlink"/>
                  <w:rFonts w:ascii="Arial Narrow" w:hAnsi="Arial Narrow" w:cstheme="minorBidi"/>
                  <w:color w:val="000000" w:themeColor="text1"/>
                  <w:lang w:val="en-GB" w:eastAsia="ja-JP"/>
                </w:rPr>
                <w:t>1140</w:t>
              </w:r>
            </w:hyperlink>
          </w:p>
        </w:tc>
        <w:tc>
          <w:tcPr>
            <w:tcW w:w="3121" w:type="pct"/>
          </w:tcPr>
          <w:p w14:paraId="3FF71567" w14:textId="77777777" w:rsidR="008557E4" w:rsidRPr="009E0E53" w:rsidRDefault="007046DE" w:rsidP="00E60EBC">
            <w:pPr>
              <w:pStyle w:val="TableText0"/>
              <w:keepNext/>
              <w:spacing w:before="80" w:after="80"/>
              <w:rPr>
                <w:lang w:val="en-GB" w:eastAsia="ja-JP"/>
              </w:rPr>
            </w:pPr>
            <w:r w:rsidRPr="0062354A">
              <w:rPr>
                <w:lang w:val="en-GB" w:eastAsia="ja-JP"/>
              </w:rPr>
              <w:t>Matrix-induced Autologous Chondrocyte Implantation (MACI) and Autologous Chondrocyte Implantation (ACI)</w:t>
            </w:r>
          </w:p>
        </w:tc>
        <w:tc>
          <w:tcPr>
            <w:tcW w:w="1300" w:type="pct"/>
          </w:tcPr>
          <w:p w14:paraId="04FCE22B" w14:textId="11B78DAA" w:rsidR="008557E4" w:rsidRPr="009E0E53" w:rsidRDefault="007046DE" w:rsidP="00E60EBC">
            <w:pPr>
              <w:pStyle w:val="TableText0"/>
              <w:keepNext/>
              <w:spacing w:before="80" w:after="80"/>
              <w:rPr>
                <w:lang w:val="en-GB" w:eastAsia="ja-JP"/>
              </w:rPr>
            </w:pPr>
            <w:r w:rsidRPr="0E230E8E">
              <w:rPr>
                <w:b/>
                <w:bCs/>
                <w:lang w:val="en-GB" w:eastAsia="ja-JP"/>
              </w:rPr>
              <w:t>MSAC</w:t>
            </w:r>
            <w:r w:rsidRPr="0E230E8E">
              <w:rPr>
                <w:lang w:val="en-GB" w:eastAsia="ja-JP"/>
              </w:rPr>
              <w:t>: 02 December 2010</w:t>
            </w:r>
          </w:p>
        </w:tc>
      </w:tr>
      <w:tr w:rsidR="00FD7D5C" w14:paraId="09B0C837" w14:textId="77777777" w:rsidTr="0E230E8E">
        <w:tc>
          <w:tcPr>
            <w:tcW w:w="579" w:type="pct"/>
          </w:tcPr>
          <w:p w14:paraId="04E48882" w14:textId="45349764" w:rsidR="008557E4" w:rsidRPr="00C834D5" w:rsidRDefault="00997C52" w:rsidP="00E60EBC">
            <w:pPr>
              <w:pStyle w:val="TableText0"/>
              <w:keepNext/>
              <w:spacing w:before="80" w:after="80"/>
              <w:rPr>
                <w:color w:val="000000" w:themeColor="text1"/>
                <w:lang w:val="en-GB" w:eastAsia="ja-JP"/>
              </w:rPr>
            </w:pPr>
            <w:hyperlink r:id="rId12" w:tooltip="Link to MSAC web page for application 1273" w:history="1">
              <w:r w:rsidR="007046DE" w:rsidRPr="00C834D5">
                <w:rPr>
                  <w:rStyle w:val="Hyperlink"/>
                  <w:rFonts w:ascii="Arial Narrow" w:hAnsi="Arial Narrow" w:cstheme="minorBidi"/>
                  <w:color w:val="000000" w:themeColor="text1"/>
                  <w:lang w:val="en-GB" w:eastAsia="ja-JP"/>
                </w:rPr>
                <w:t>1273</w:t>
              </w:r>
            </w:hyperlink>
          </w:p>
        </w:tc>
        <w:tc>
          <w:tcPr>
            <w:tcW w:w="3121" w:type="pct"/>
          </w:tcPr>
          <w:p w14:paraId="4E558911" w14:textId="77777777" w:rsidR="008557E4" w:rsidRPr="009E0E53" w:rsidRDefault="007046DE" w:rsidP="00E60EBC">
            <w:pPr>
              <w:pStyle w:val="TableText0"/>
              <w:keepNext/>
              <w:spacing w:before="80" w:after="80"/>
              <w:rPr>
                <w:lang w:val="en-GB" w:eastAsia="ja-JP"/>
              </w:rPr>
            </w:pPr>
            <w:r w:rsidRPr="002D351D">
              <w:rPr>
                <w:lang w:val="en-GB" w:eastAsia="ja-JP"/>
              </w:rPr>
              <w:t>Matrix-induced Autologous Chondrocyte Implant</w:t>
            </w:r>
          </w:p>
        </w:tc>
        <w:tc>
          <w:tcPr>
            <w:tcW w:w="1300" w:type="pct"/>
          </w:tcPr>
          <w:p w14:paraId="4278209A" w14:textId="77777777" w:rsidR="008557E4" w:rsidRDefault="007046DE" w:rsidP="00E60EBC">
            <w:pPr>
              <w:pStyle w:val="TableText0"/>
              <w:keepNext/>
              <w:spacing w:before="80" w:after="80"/>
              <w:rPr>
                <w:lang w:val="en-GB" w:eastAsia="ja-JP"/>
              </w:rPr>
            </w:pPr>
            <w:r w:rsidRPr="000E5799">
              <w:rPr>
                <w:b/>
                <w:bCs/>
                <w:lang w:val="en-GB" w:eastAsia="ja-JP"/>
              </w:rPr>
              <w:t>PASC</w:t>
            </w:r>
            <w:r>
              <w:rPr>
                <w:lang w:val="en-GB" w:eastAsia="ja-JP"/>
              </w:rPr>
              <w:t>: 12-13 April 2012</w:t>
            </w:r>
          </w:p>
          <w:p w14:paraId="15877C1B" w14:textId="3057F059" w:rsidR="008557E4" w:rsidRPr="009E0E53" w:rsidRDefault="007046DE" w:rsidP="00E60EBC">
            <w:pPr>
              <w:pStyle w:val="TableText0"/>
              <w:keepNext/>
              <w:spacing w:before="80" w:after="80"/>
              <w:rPr>
                <w:lang w:val="en-GB" w:eastAsia="ja-JP"/>
              </w:rPr>
            </w:pPr>
            <w:r>
              <w:rPr>
                <w:lang w:val="en-GB" w:eastAsia="ja-JP"/>
              </w:rPr>
              <w:t>Did not proceed</w:t>
            </w:r>
          </w:p>
        </w:tc>
      </w:tr>
      <w:tr w:rsidR="00FD7D5C" w14:paraId="478F0C6C" w14:textId="77777777" w:rsidTr="0E230E8E">
        <w:tc>
          <w:tcPr>
            <w:tcW w:w="579" w:type="pct"/>
          </w:tcPr>
          <w:p w14:paraId="5DFDA67E" w14:textId="67CC6AFF" w:rsidR="008557E4" w:rsidRPr="00C834D5" w:rsidRDefault="00997C52" w:rsidP="00E60EBC">
            <w:pPr>
              <w:pStyle w:val="TableText0"/>
              <w:keepNext/>
              <w:spacing w:before="80" w:after="80"/>
              <w:rPr>
                <w:color w:val="000000" w:themeColor="text1"/>
                <w:lang w:val="en-GB" w:eastAsia="ja-JP"/>
              </w:rPr>
            </w:pPr>
            <w:hyperlink r:id="rId13" w:tooltip="Link to MSAC web page for application 1569" w:history="1">
              <w:r w:rsidR="007046DE" w:rsidRPr="00C834D5">
                <w:rPr>
                  <w:rStyle w:val="Hyperlink"/>
                  <w:rFonts w:ascii="Arial Narrow" w:hAnsi="Arial Narrow" w:cstheme="minorBidi"/>
                  <w:color w:val="000000" w:themeColor="text1"/>
                  <w:lang w:val="en-GB" w:eastAsia="ja-JP"/>
                </w:rPr>
                <w:t>1569</w:t>
              </w:r>
            </w:hyperlink>
          </w:p>
        </w:tc>
        <w:tc>
          <w:tcPr>
            <w:tcW w:w="3121" w:type="pct"/>
          </w:tcPr>
          <w:p w14:paraId="66E918AC" w14:textId="77777777" w:rsidR="008557E4" w:rsidRPr="009E0E53" w:rsidRDefault="007046DE" w:rsidP="00E60EBC">
            <w:pPr>
              <w:pStyle w:val="TableText0"/>
              <w:keepNext/>
              <w:spacing w:before="80" w:after="80"/>
              <w:rPr>
                <w:lang w:val="en-GB" w:eastAsia="ja-JP"/>
              </w:rPr>
            </w:pPr>
            <w:r w:rsidRPr="00B232BC">
              <w:rPr>
                <w:lang w:val="en-GB" w:eastAsia="ja-JP"/>
              </w:rPr>
              <w:t>Chitosan-based cartilage biomatrix implant (BST-CarGel), in conjunction with the marrow stimulation technique (microfracture), for repair of focal cartilage defects</w:t>
            </w:r>
          </w:p>
        </w:tc>
        <w:tc>
          <w:tcPr>
            <w:tcW w:w="1300" w:type="pct"/>
          </w:tcPr>
          <w:p w14:paraId="176463B7" w14:textId="77777777" w:rsidR="008557E4" w:rsidRDefault="007046DE" w:rsidP="00E60EBC">
            <w:pPr>
              <w:pStyle w:val="TableText0"/>
              <w:keepNext/>
              <w:spacing w:before="80" w:after="80"/>
              <w:rPr>
                <w:lang w:val="en-GB" w:eastAsia="ja-JP"/>
              </w:rPr>
            </w:pPr>
            <w:r w:rsidRPr="000E5799">
              <w:rPr>
                <w:b/>
                <w:bCs/>
                <w:lang w:val="en-GB" w:eastAsia="ja-JP"/>
              </w:rPr>
              <w:t>PASC</w:t>
            </w:r>
            <w:r>
              <w:rPr>
                <w:lang w:val="en-GB" w:eastAsia="ja-JP"/>
              </w:rPr>
              <w:t>: 08 August 2019</w:t>
            </w:r>
          </w:p>
          <w:p w14:paraId="0152262C" w14:textId="77777777" w:rsidR="008557E4" w:rsidRPr="009E0E53" w:rsidRDefault="007046DE" w:rsidP="00E60EBC">
            <w:pPr>
              <w:pStyle w:val="TableText0"/>
              <w:keepNext/>
              <w:spacing w:before="80" w:after="80"/>
              <w:rPr>
                <w:lang w:val="en-GB" w:eastAsia="ja-JP"/>
              </w:rPr>
            </w:pPr>
            <w:r w:rsidRPr="000E5799">
              <w:rPr>
                <w:b/>
                <w:bCs/>
                <w:lang w:val="en-GB" w:eastAsia="ja-JP"/>
              </w:rPr>
              <w:t>MSAC</w:t>
            </w:r>
            <w:r>
              <w:rPr>
                <w:lang w:val="en-GB" w:eastAsia="ja-JP"/>
              </w:rPr>
              <w:t>: 28-29 July 2020</w:t>
            </w:r>
          </w:p>
        </w:tc>
      </w:tr>
      <w:tr w:rsidR="00FD7D5C" w14:paraId="3AD7A48D" w14:textId="77777777" w:rsidTr="0E230E8E">
        <w:tc>
          <w:tcPr>
            <w:tcW w:w="579" w:type="pct"/>
          </w:tcPr>
          <w:p w14:paraId="55DC6C0B" w14:textId="1636A5A9" w:rsidR="008557E4" w:rsidRPr="00C834D5" w:rsidRDefault="00997C52" w:rsidP="00BD6E6C">
            <w:pPr>
              <w:pStyle w:val="TableText0"/>
              <w:spacing w:before="80" w:after="80"/>
              <w:rPr>
                <w:color w:val="000000" w:themeColor="text1"/>
                <w:lang w:val="en-GB" w:eastAsia="ja-JP"/>
              </w:rPr>
            </w:pPr>
            <w:hyperlink r:id="rId14" w:tooltip="Link to MSAC web page for application 1578" w:history="1">
              <w:r w:rsidR="007046DE" w:rsidRPr="00C834D5">
                <w:rPr>
                  <w:rStyle w:val="Hyperlink"/>
                  <w:rFonts w:ascii="Arial Narrow" w:hAnsi="Arial Narrow" w:cstheme="minorBidi"/>
                  <w:color w:val="000000" w:themeColor="text1"/>
                  <w:lang w:val="en-GB" w:eastAsia="ja-JP"/>
                </w:rPr>
                <w:t>1578</w:t>
              </w:r>
            </w:hyperlink>
          </w:p>
        </w:tc>
        <w:tc>
          <w:tcPr>
            <w:tcW w:w="3121" w:type="pct"/>
          </w:tcPr>
          <w:p w14:paraId="0429BB04" w14:textId="77777777" w:rsidR="008557E4" w:rsidRPr="009E0E53" w:rsidRDefault="007046DE" w:rsidP="00BD6E6C">
            <w:pPr>
              <w:pStyle w:val="TableText0"/>
              <w:spacing w:before="80" w:after="80"/>
              <w:rPr>
                <w:lang w:val="en-GB" w:eastAsia="ja-JP"/>
              </w:rPr>
            </w:pPr>
            <w:r w:rsidRPr="00FF424D">
              <w:rPr>
                <w:lang w:val="en-GB" w:eastAsia="ja-JP"/>
              </w:rPr>
              <w:t>Arthroscopic injection of a bioadhesive hydrogel implant (JointRep™), in conjunction with microfracture, for treatment of osteochondral defects of the knee</w:t>
            </w:r>
          </w:p>
        </w:tc>
        <w:tc>
          <w:tcPr>
            <w:tcW w:w="1300" w:type="pct"/>
          </w:tcPr>
          <w:p w14:paraId="4FF833D6" w14:textId="77777777" w:rsidR="008557E4" w:rsidRDefault="007046DE" w:rsidP="00BD6E6C">
            <w:pPr>
              <w:pStyle w:val="TableText0"/>
              <w:spacing w:before="80" w:after="80"/>
              <w:rPr>
                <w:lang w:val="en-GB" w:eastAsia="ja-JP"/>
              </w:rPr>
            </w:pPr>
            <w:r w:rsidRPr="000E5799">
              <w:rPr>
                <w:b/>
                <w:bCs/>
                <w:lang w:val="en-GB" w:eastAsia="ja-JP"/>
              </w:rPr>
              <w:t>PASC</w:t>
            </w:r>
            <w:r>
              <w:rPr>
                <w:lang w:val="en-GB" w:eastAsia="ja-JP"/>
              </w:rPr>
              <w:t>: 08 August 2019</w:t>
            </w:r>
          </w:p>
          <w:p w14:paraId="7FE97919" w14:textId="77777777" w:rsidR="008557E4" w:rsidRPr="009E0E53" w:rsidRDefault="007046DE" w:rsidP="00BD6E6C">
            <w:pPr>
              <w:pStyle w:val="TableText0"/>
              <w:spacing w:before="80" w:after="80"/>
              <w:rPr>
                <w:lang w:val="en-GB" w:eastAsia="ja-JP"/>
              </w:rPr>
            </w:pPr>
            <w:r w:rsidRPr="000E5799">
              <w:rPr>
                <w:b/>
                <w:bCs/>
                <w:lang w:val="en-GB" w:eastAsia="ja-JP"/>
              </w:rPr>
              <w:t>MSAC</w:t>
            </w:r>
            <w:r>
              <w:rPr>
                <w:lang w:val="en-GB" w:eastAsia="ja-JP"/>
              </w:rPr>
              <w:t>: 29-30 July 2021</w:t>
            </w:r>
          </w:p>
        </w:tc>
      </w:tr>
    </w:tbl>
    <w:p w14:paraId="6660D2DB" w14:textId="2EE67395" w:rsidR="00365CAC" w:rsidRDefault="007046DE" w:rsidP="00365CAC">
      <w:pPr>
        <w:pStyle w:val="Tablenotes"/>
        <w:spacing w:after="0"/>
        <w:jc w:val="left"/>
      </w:pPr>
      <w:r>
        <w:t xml:space="preserve">Note: Applications 1569 and 1578 are for interventions to be used in conjunction with </w:t>
      </w:r>
      <w:r w:rsidR="005367F7">
        <w:t>microfracture but</w:t>
      </w:r>
      <w:r>
        <w:t xml:space="preserve"> consider the same patient population (focal lesions of knee cartilage) so are relevant to this application. </w:t>
      </w:r>
    </w:p>
    <w:p w14:paraId="46C6F2F0" w14:textId="43C15A27" w:rsidR="008557E4" w:rsidRPr="00C834D5" w:rsidRDefault="007046DE" w:rsidP="00365CAC">
      <w:pPr>
        <w:pStyle w:val="Tablenotes"/>
        <w:spacing w:after="0"/>
        <w:jc w:val="left"/>
        <w:rPr>
          <w:color w:val="000000" w:themeColor="text1"/>
        </w:rPr>
      </w:pPr>
      <w:r>
        <w:t xml:space="preserve">Source: </w:t>
      </w:r>
      <w:r w:rsidR="00B753C3">
        <w:t xml:space="preserve">MSAC application page, Department of Health and Aged Care, </w:t>
      </w:r>
      <w:r w:rsidR="00032B38">
        <w:t xml:space="preserve">available at </w:t>
      </w:r>
      <w:hyperlink r:id="rId15" w:tooltip="Link to MSAC application page, Department of Health and Aged Care" w:history="1">
        <w:r w:rsidR="00860696" w:rsidRPr="00C834D5">
          <w:rPr>
            <w:rStyle w:val="Hyperlink"/>
            <w:rFonts w:ascii="Arial Narrow" w:hAnsi="Arial Narrow" w:cs="Arial"/>
            <w:color w:val="000000" w:themeColor="text1"/>
          </w:rPr>
          <w:t>http://www.msac.gov.au/internet/msac/publishing.nsf/Content/application-page</w:t>
        </w:r>
      </w:hyperlink>
    </w:p>
    <w:p w14:paraId="692B1B55" w14:textId="1A943AE6" w:rsidR="00FF1CF9" w:rsidRDefault="007046DE" w:rsidP="00365CAC">
      <w:pPr>
        <w:pStyle w:val="Heading3"/>
        <w:spacing w:after="240"/>
      </w:pPr>
      <w:r>
        <w:t>Clinical claims</w:t>
      </w:r>
    </w:p>
    <w:p w14:paraId="1E1B491A" w14:textId="796D2A6E" w:rsidR="005B657C" w:rsidRDefault="007046DE" w:rsidP="00F3653D">
      <w:pPr>
        <w:spacing w:after="240"/>
        <w:rPr>
          <w:iCs/>
        </w:rPr>
      </w:pPr>
      <w:r>
        <w:rPr>
          <w:iCs/>
        </w:rPr>
        <w:t>The clinical claim</w:t>
      </w:r>
      <w:r w:rsidR="00C72ABA">
        <w:rPr>
          <w:iCs/>
        </w:rPr>
        <w:t>s</w:t>
      </w:r>
      <w:r>
        <w:rPr>
          <w:iCs/>
        </w:rPr>
        <w:t xml:space="preserve"> </w:t>
      </w:r>
      <w:r w:rsidR="000408C2">
        <w:rPr>
          <w:iCs/>
        </w:rPr>
        <w:t xml:space="preserve">proposed </w:t>
      </w:r>
      <w:r w:rsidR="00096AA0">
        <w:rPr>
          <w:iCs/>
        </w:rPr>
        <w:t>in the application</w:t>
      </w:r>
      <w:r w:rsidR="000408C2">
        <w:rPr>
          <w:iCs/>
        </w:rPr>
        <w:t xml:space="preserve"> </w:t>
      </w:r>
      <w:r w:rsidR="00C72ABA">
        <w:rPr>
          <w:iCs/>
        </w:rPr>
        <w:t>are</w:t>
      </w:r>
      <w:r>
        <w:rPr>
          <w:iCs/>
        </w:rPr>
        <w:t xml:space="preserve"> as follows:</w:t>
      </w:r>
    </w:p>
    <w:p w14:paraId="6E999124" w14:textId="33A505B9" w:rsidR="00A95CD6" w:rsidRPr="002F0E37" w:rsidRDefault="007046DE" w:rsidP="005F56C7">
      <w:pPr>
        <w:pStyle w:val="ListParagraph"/>
        <w:numPr>
          <w:ilvl w:val="0"/>
          <w:numId w:val="25"/>
        </w:numPr>
        <w:spacing w:after="240"/>
        <w:rPr>
          <w:iCs/>
        </w:rPr>
      </w:pPr>
      <w:r w:rsidRPr="000F556B">
        <w:rPr>
          <w:iCs/>
        </w:rPr>
        <w:t xml:space="preserve">Matrix-assisted </w:t>
      </w:r>
      <w:r w:rsidR="00EF006E" w:rsidRPr="000F556B">
        <w:rPr>
          <w:iCs/>
        </w:rPr>
        <w:t xml:space="preserve">ACI is superior </w:t>
      </w:r>
      <w:r w:rsidR="00423101" w:rsidRPr="000F556B">
        <w:rPr>
          <w:iCs/>
        </w:rPr>
        <w:t>to microfracture</w:t>
      </w:r>
      <w:r w:rsidR="000408C2" w:rsidRPr="000F556B">
        <w:rPr>
          <w:iCs/>
        </w:rPr>
        <w:t xml:space="preserve"> </w:t>
      </w:r>
      <w:r w:rsidR="00423101" w:rsidRPr="000F556B">
        <w:rPr>
          <w:iCs/>
        </w:rPr>
        <w:t xml:space="preserve">for clinical effectiveness </w:t>
      </w:r>
      <w:r w:rsidR="00B31569" w:rsidRPr="000F556B">
        <w:rPr>
          <w:iCs/>
        </w:rPr>
        <w:t xml:space="preserve">in the treatment of </w:t>
      </w:r>
      <w:r w:rsidR="007A7034" w:rsidRPr="000F556B">
        <w:rPr>
          <w:iCs/>
        </w:rPr>
        <w:t>symptomatic chondral or osteochondral</w:t>
      </w:r>
      <w:r w:rsidR="00423101" w:rsidRPr="000F556B">
        <w:rPr>
          <w:iCs/>
        </w:rPr>
        <w:t xml:space="preserve"> lesions ≥ 2 cm² and &lt; 20 cm²</w:t>
      </w:r>
      <w:r w:rsidR="005E0C0E" w:rsidRPr="000F556B">
        <w:rPr>
          <w:iCs/>
        </w:rPr>
        <w:t xml:space="preserve"> in size</w:t>
      </w:r>
      <w:r w:rsidR="00423101" w:rsidRPr="000F556B">
        <w:rPr>
          <w:iCs/>
        </w:rPr>
        <w:t>.</w:t>
      </w:r>
    </w:p>
    <w:p w14:paraId="7254C15A" w14:textId="5973E702" w:rsidR="00010967" w:rsidRPr="000F556B" w:rsidRDefault="007046DE" w:rsidP="005F56C7">
      <w:pPr>
        <w:pStyle w:val="ListParagraph"/>
        <w:numPr>
          <w:ilvl w:val="0"/>
          <w:numId w:val="25"/>
        </w:numPr>
        <w:spacing w:after="240"/>
        <w:rPr>
          <w:iCs/>
        </w:rPr>
      </w:pPr>
      <w:r>
        <w:rPr>
          <w:iCs/>
        </w:rPr>
        <w:t xml:space="preserve">Matrix-assisted </w:t>
      </w:r>
      <w:r w:rsidR="00EF006E" w:rsidRPr="002F0E37">
        <w:rPr>
          <w:iCs/>
        </w:rPr>
        <w:t>ACI is non-inferior</w:t>
      </w:r>
      <w:r>
        <w:rPr>
          <w:rStyle w:val="FootnoteReference"/>
          <w:iCs/>
        </w:rPr>
        <w:footnoteReference w:id="2"/>
      </w:r>
      <w:r w:rsidR="00EF006E" w:rsidRPr="002F0E37">
        <w:rPr>
          <w:iCs/>
        </w:rPr>
        <w:t xml:space="preserve"> </w:t>
      </w:r>
      <w:r w:rsidR="005D2AE0" w:rsidRPr="002F0E37">
        <w:rPr>
          <w:iCs/>
        </w:rPr>
        <w:t>to microfracture for safety</w:t>
      </w:r>
      <w:r w:rsidR="00B31569" w:rsidRPr="002F0E37">
        <w:rPr>
          <w:iCs/>
        </w:rPr>
        <w:t xml:space="preserve"> in the treatment of </w:t>
      </w:r>
      <w:r w:rsidR="005D2AE0" w:rsidRPr="002F0E37">
        <w:rPr>
          <w:iCs/>
        </w:rPr>
        <w:t>symptomatic chondral or osteochondral lesions ≥ 2 cm² and &lt; 20 cm² in size.</w:t>
      </w:r>
    </w:p>
    <w:p w14:paraId="2ED56ACE" w14:textId="7DFD2940" w:rsidR="00482B73" w:rsidRDefault="007046DE" w:rsidP="00E17782">
      <w:pPr>
        <w:spacing w:after="240"/>
        <w:rPr>
          <w:iCs/>
        </w:rPr>
      </w:pPr>
      <w:r>
        <w:rPr>
          <w:iCs/>
        </w:rPr>
        <w:t>No clinical claim</w:t>
      </w:r>
      <w:r w:rsidR="00055DE4">
        <w:rPr>
          <w:iCs/>
        </w:rPr>
        <w:t>s</w:t>
      </w:r>
      <w:r>
        <w:rPr>
          <w:iCs/>
        </w:rPr>
        <w:t xml:space="preserve"> </w:t>
      </w:r>
      <w:r w:rsidR="00AD177F">
        <w:rPr>
          <w:iCs/>
        </w:rPr>
        <w:t>were</w:t>
      </w:r>
      <w:r>
        <w:rPr>
          <w:iCs/>
        </w:rPr>
        <w:t xml:space="preserve"> made </w:t>
      </w:r>
      <w:r w:rsidR="000F7183">
        <w:rPr>
          <w:iCs/>
        </w:rPr>
        <w:t>in the application</w:t>
      </w:r>
      <w:r>
        <w:rPr>
          <w:iCs/>
        </w:rPr>
        <w:t xml:space="preserve"> </w:t>
      </w:r>
      <w:r w:rsidR="00055DE4">
        <w:rPr>
          <w:iCs/>
        </w:rPr>
        <w:t>c</w:t>
      </w:r>
      <w:r>
        <w:rPr>
          <w:iCs/>
        </w:rPr>
        <w:t>ompar</w:t>
      </w:r>
      <w:r w:rsidR="00055DE4">
        <w:rPr>
          <w:iCs/>
        </w:rPr>
        <w:t xml:space="preserve">ing </w:t>
      </w:r>
      <w:r w:rsidR="002C405F">
        <w:rPr>
          <w:iCs/>
        </w:rPr>
        <w:t xml:space="preserve">matrix-assisted </w:t>
      </w:r>
      <w:r w:rsidR="00055DE4">
        <w:rPr>
          <w:iCs/>
        </w:rPr>
        <w:t>ACI with</w:t>
      </w:r>
      <w:r>
        <w:rPr>
          <w:iCs/>
        </w:rPr>
        <w:t xml:space="preserve"> </w:t>
      </w:r>
      <w:r w:rsidR="0084219E" w:rsidRPr="0084219E">
        <w:rPr>
          <w:iCs/>
        </w:rPr>
        <w:t>other potential interventions for treatment of chondral or osteochondral lesions such as</w:t>
      </w:r>
      <w:r w:rsidR="0084219E">
        <w:rPr>
          <w:iCs/>
        </w:rPr>
        <w:t xml:space="preserve"> </w:t>
      </w:r>
      <w:r w:rsidR="00BC213B">
        <w:rPr>
          <w:iCs/>
        </w:rPr>
        <w:t xml:space="preserve">osteochondral </w:t>
      </w:r>
      <w:r>
        <w:rPr>
          <w:iCs/>
        </w:rPr>
        <w:t>autografting</w:t>
      </w:r>
      <w:r w:rsidR="00604927">
        <w:rPr>
          <w:iCs/>
        </w:rPr>
        <w:t xml:space="preserve"> (i.e. mosaicplasty or osteochondral </w:t>
      </w:r>
      <w:r w:rsidR="0050269C">
        <w:rPr>
          <w:iCs/>
        </w:rPr>
        <w:t>autograft transplantation)</w:t>
      </w:r>
      <w:r w:rsidR="00BC213B">
        <w:rPr>
          <w:iCs/>
        </w:rPr>
        <w:t>, osteochondral</w:t>
      </w:r>
      <w:r>
        <w:rPr>
          <w:iCs/>
        </w:rPr>
        <w:t xml:space="preserve"> allografting</w:t>
      </w:r>
      <w:r w:rsidR="00BC213B">
        <w:rPr>
          <w:iCs/>
        </w:rPr>
        <w:t xml:space="preserve">, or </w:t>
      </w:r>
      <w:r w:rsidR="005671E7">
        <w:rPr>
          <w:iCs/>
        </w:rPr>
        <w:t>conservative treatment</w:t>
      </w:r>
      <w:r>
        <w:rPr>
          <w:iCs/>
        </w:rPr>
        <w:t>.</w:t>
      </w:r>
    </w:p>
    <w:p w14:paraId="18E66948" w14:textId="77777777" w:rsidR="00D73332" w:rsidRPr="00FD4C65" w:rsidRDefault="007046DE" w:rsidP="00FD4C65">
      <w:pPr>
        <w:pStyle w:val="Heading2"/>
      </w:pPr>
      <w:r w:rsidRPr="00FD4C65">
        <w:t xml:space="preserve">PICO </w:t>
      </w:r>
      <w:r w:rsidR="00FD4E33" w:rsidRPr="00FD4C65">
        <w:t xml:space="preserve">criteria </w:t>
      </w:r>
    </w:p>
    <w:p w14:paraId="06B30611" w14:textId="77777777" w:rsidR="007D6B83" w:rsidRPr="00713728" w:rsidRDefault="007046DE" w:rsidP="0077210A">
      <w:pPr>
        <w:pStyle w:val="Heading3"/>
      </w:pPr>
      <w:r w:rsidRPr="0077210A">
        <w:t>Population</w:t>
      </w:r>
    </w:p>
    <w:p w14:paraId="52DC4D79" w14:textId="4CFE4681" w:rsidR="00B95218" w:rsidRDefault="007046DE" w:rsidP="00B95218">
      <w:pPr>
        <w:rPr>
          <w:szCs w:val="20"/>
        </w:rPr>
      </w:pPr>
      <w:r>
        <w:rPr>
          <w:rFonts w:asciiTheme="minorHAnsi" w:hAnsiTheme="minorHAnsi" w:cstheme="minorHAnsi"/>
          <w:szCs w:val="20"/>
        </w:rPr>
        <w:t xml:space="preserve">The proposed population for </w:t>
      </w:r>
      <w:r w:rsidR="002C405F">
        <w:rPr>
          <w:iCs/>
        </w:rPr>
        <w:t xml:space="preserve">matrix-assisted </w:t>
      </w:r>
      <w:r>
        <w:rPr>
          <w:rFonts w:asciiTheme="minorHAnsi" w:hAnsiTheme="minorHAnsi" w:cstheme="minorHAnsi"/>
          <w:szCs w:val="20"/>
        </w:rPr>
        <w:t xml:space="preserve">ACI treatment is patients aged 18 to 55 years who </w:t>
      </w:r>
      <w:r>
        <w:rPr>
          <w:szCs w:val="20"/>
        </w:rPr>
        <w:t>have failed conservative treatment</w:t>
      </w:r>
      <w:r>
        <w:rPr>
          <w:rFonts w:asciiTheme="minorHAnsi" w:hAnsiTheme="minorHAnsi" w:cstheme="minorHAnsi"/>
          <w:szCs w:val="20"/>
        </w:rPr>
        <w:t xml:space="preserve"> of symptomatic, </w:t>
      </w:r>
      <w:r w:rsidR="00055053" w:rsidRPr="00055053">
        <w:rPr>
          <w:rFonts w:asciiTheme="minorHAnsi" w:hAnsiTheme="minorHAnsi" w:cstheme="minorHAnsi"/>
          <w:szCs w:val="20"/>
        </w:rPr>
        <w:t xml:space="preserve">International Cartilage Repair Society </w:t>
      </w:r>
      <w:r w:rsidR="00055053">
        <w:rPr>
          <w:rFonts w:asciiTheme="minorHAnsi" w:hAnsiTheme="minorHAnsi" w:cstheme="minorHAnsi"/>
          <w:szCs w:val="20"/>
        </w:rPr>
        <w:t>(</w:t>
      </w:r>
      <w:r>
        <w:rPr>
          <w:rFonts w:asciiTheme="minorHAnsi" w:hAnsiTheme="minorHAnsi" w:cstheme="minorHAnsi"/>
          <w:szCs w:val="20"/>
        </w:rPr>
        <w:t>ICRS</w:t>
      </w:r>
      <w:r w:rsidR="00055053">
        <w:rPr>
          <w:rFonts w:asciiTheme="minorHAnsi" w:hAnsiTheme="minorHAnsi" w:cstheme="minorHAnsi"/>
          <w:szCs w:val="20"/>
        </w:rPr>
        <w:t>)</w:t>
      </w:r>
      <w:r>
        <w:rPr>
          <w:rFonts w:asciiTheme="minorHAnsi" w:hAnsiTheme="minorHAnsi" w:cstheme="minorHAnsi"/>
          <w:szCs w:val="20"/>
        </w:rPr>
        <w:t xml:space="preserve"> grade 3 or 4 chondral focal lesions that are </w:t>
      </w:r>
      <w:r>
        <w:rPr>
          <w:rFonts w:cs="Calibri"/>
          <w:szCs w:val="20"/>
        </w:rPr>
        <w:t>≥</w:t>
      </w:r>
      <w:r>
        <w:rPr>
          <w:szCs w:val="20"/>
        </w:rPr>
        <w:t> 2 </w:t>
      </w:r>
      <w:r w:rsidRPr="00C3582E">
        <w:rPr>
          <w:szCs w:val="20"/>
        </w:rPr>
        <w:t>cm²</w:t>
      </w:r>
      <w:r>
        <w:rPr>
          <w:szCs w:val="20"/>
        </w:rPr>
        <w:t xml:space="preserve"> and &lt; 20 </w:t>
      </w:r>
      <w:r w:rsidRPr="00C3582E">
        <w:rPr>
          <w:szCs w:val="20"/>
        </w:rPr>
        <w:t>cm²</w:t>
      </w:r>
      <w:r>
        <w:rPr>
          <w:szCs w:val="20"/>
        </w:rPr>
        <w:t xml:space="preserve"> in size in an otherwise normal knee. The intervention is not appropriate for patients with </w:t>
      </w:r>
      <w:r w:rsidRPr="00F759BC">
        <w:rPr>
          <w:szCs w:val="20"/>
        </w:rPr>
        <w:t>rheumatoid or other inflammatory arthritic conditions, osteoarthritis</w:t>
      </w:r>
      <w:r>
        <w:rPr>
          <w:szCs w:val="20"/>
        </w:rPr>
        <w:t>,</w:t>
      </w:r>
      <w:r w:rsidRPr="00F759BC">
        <w:rPr>
          <w:szCs w:val="20"/>
        </w:rPr>
        <w:t xml:space="preserve"> or unstable or mal-aligned joints</w:t>
      </w:r>
      <w:r>
        <w:rPr>
          <w:szCs w:val="20"/>
        </w:rPr>
        <w:t xml:space="preserve">, </w:t>
      </w:r>
      <w:r w:rsidRPr="00F759BC">
        <w:rPr>
          <w:szCs w:val="20"/>
        </w:rPr>
        <w:t>unless being concurrently corrected</w:t>
      </w:r>
      <w:r>
        <w:rPr>
          <w:szCs w:val="20"/>
        </w:rPr>
        <w:t>.</w:t>
      </w:r>
    </w:p>
    <w:p w14:paraId="7FB53D7E" w14:textId="1947F58D" w:rsidR="00160F1D" w:rsidRDefault="007046DE" w:rsidP="00160F1D">
      <w:r>
        <w:t xml:space="preserve">In </w:t>
      </w:r>
      <w:r w:rsidR="0085184E">
        <w:t>complex joints such as the knee</w:t>
      </w:r>
      <w:r>
        <w:t>, articular cartilage</w:t>
      </w:r>
      <w:r w:rsidR="0085184E">
        <w:t xml:space="preserve"> </w:t>
      </w:r>
      <w:r w:rsidR="00E36C04">
        <w:t>decrease</w:t>
      </w:r>
      <w:r>
        <w:t>s</w:t>
      </w:r>
      <w:r w:rsidR="00E36C04">
        <w:t xml:space="preserve"> friction and distribute</w:t>
      </w:r>
      <w:r>
        <w:t>s</w:t>
      </w:r>
      <w:r w:rsidR="00E36C04">
        <w:t xml:space="preserve"> load </w:t>
      </w:r>
      <w:r w:rsidR="00241A05">
        <w:t>during full</w:t>
      </w:r>
      <w:r w:rsidR="0085184E">
        <w:t xml:space="preserve"> </w:t>
      </w:r>
      <w:r w:rsidR="00E36C04">
        <w:t>range of movement while weight bearing</w:t>
      </w:r>
      <w:r w:rsidR="00241A05">
        <w:t>.</w:t>
      </w:r>
      <w:r>
        <w:t xml:space="preserve"> It is composed of hyaline cartilage consisting of a dense </w:t>
      </w:r>
      <w:r>
        <w:lastRenderedPageBreak/>
        <w:t xml:space="preserve">extracellular matrix with a sparse distribution of chondrocyte (cartilage) cells. Unlike other tissues, articular cartilage does not have blood vessels, nerves or lymphatics and is nourished by diffusion from the synovial fluid, </w:t>
      </w:r>
      <w:r w:rsidR="000B6E24">
        <w:t xml:space="preserve">so </w:t>
      </w:r>
      <w:r>
        <w:t xml:space="preserve">articular cartilage has a limited ability to repair itself when damaged. </w:t>
      </w:r>
      <w:r w:rsidR="00643174">
        <w:t xml:space="preserve">Loss of articular cartilage is known as a chondral defect. </w:t>
      </w:r>
      <w:r w:rsidR="00A07D7D">
        <w:t xml:space="preserve">When the damage occurs in a discrete location, </w:t>
      </w:r>
      <w:r w:rsidR="005043D0">
        <w:t xml:space="preserve">surrounded by healthy tissue, </w:t>
      </w:r>
      <w:r w:rsidR="00A07D7D">
        <w:t xml:space="preserve">it is referred to as a focal lesion. </w:t>
      </w:r>
      <w:r w:rsidR="00F3789F" w:rsidRPr="00A95E91">
        <w:rPr>
          <w:rFonts w:asciiTheme="minorHAnsi" w:hAnsiTheme="minorHAnsi" w:cstheme="minorHAnsi"/>
          <w:szCs w:val="20"/>
        </w:rPr>
        <w:t>Chondral injury occurs in many joints, although</w:t>
      </w:r>
      <w:r w:rsidR="00253AC5">
        <w:rPr>
          <w:rFonts w:asciiTheme="minorHAnsi" w:hAnsiTheme="minorHAnsi" w:cstheme="minorHAnsi"/>
          <w:szCs w:val="20"/>
        </w:rPr>
        <w:t>, according to the application,</w:t>
      </w:r>
      <w:r w:rsidR="00F3789F" w:rsidRPr="00A95E91">
        <w:rPr>
          <w:rFonts w:asciiTheme="minorHAnsi" w:hAnsiTheme="minorHAnsi" w:cstheme="minorHAnsi"/>
          <w:szCs w:val="20"/>
        </w:rPr>
        <w:t xml:space="preserve"> the knee joint is the most common requiring medical intervention</w:t>
      </w:r>
      <w:r w:rsidR="00F3789F">
        <w:rPr>
          <w:rFonts w:asciiTheme="minorHAnsi" w:hAnsiTheme="minorHAnsi" w:cstheme="minorHAnsi"/>
          <w:szCs w:val="20"/>
        </w:rPr>
        <w:t xml:space="preserve">. </w:t>
      </w:r>
      <w:r>
        <w:t>Lesions</w:t>
      </w:r>
      <w:r w:rsidR="005043D0">
        <w:t xml:space="preserve"> can occur in t</w:t>
      </w:r>
      <w:r>
        <w:t>he femoral condyles, the medial and lateral surfaces of the tibial plateau</w:t>
      </w:r>
      <w:r w:rsidR="00643174">
        <w:t>,</w:t>
      </w:r>
      <w:r>
        <w:t xml:space="preserve"> and the inner surface of the patella.</w:t>
      </w:r>
      <w:r w:rsidR="00643174">
        <w:t xml:space="preserve"> </w:t>
      </w:r>
    </w:p>
    <w:p w14:paraId="31EE8EB8" w14:textId="23B3BAB1" w:rsidR="00B360C5" w:rsidRDefault="007046DE" w:rsidP="00B360C5">
      <w:r>
        <w:t xml:space="preserve">Cartilage damage can be caused by a </w:t>
      </w:r>
      <w:r w:rsidRPr="00C65284">
        <w:rPr>
          <w:rFonts w:asciiTheme="minorHAnsi" w:hAnsiTheme="minorHAnsi" w:cstheme="minorHAnsi"/>
          <w:szCs w:val="20"/>
        </w:rPr>
        <w:t>precipitating trauma</w:t>
      </w:r>
      <w:r>
        <w:rPr>
          <w:rFonts w:asciiTheme="minorHAnsi" w:hAnsiTheme="minorHAnsi" w:cstheme="minorHAnsi"/>
          <w:szCs w:val="20"/>
        </w:rPr>
        <w:t xml:space="preserve"> (</w:t>
      </w:r>
      <w:r w:rsidRPr="00C65284">
        <w:rPr>
          <w:rFonts w:asciiTheme="minorHAnsi" w:hAnsiTheme="minorHAnsi" w:cstheme="minorHAnsi"/>
          <w:szCs w:val="20"/>
        </w:rPr>
        <w:t>such as a sporting injury</w:t>
      </w:r>
      <w:r>
        <w:rPr>
          <w:rFonts w:asciiTheme="minorHAnsi" w:hAnsiTheme="minorHAnsi" w:cstheme="minorHAnsi"/>
          <w:szCs w:val="20"/>
        </w:rPr>
        <w:t>)</w:t>
      </w:r>
      <w:r>
        <w:t xml:space="preserve">, arthritis (e.g. osteoarthritis and the downstream effects of rheumatoid arthritis) or other degenerative diseases such as osteochondritis dissecans. Cartilage damage can also occur from joint instability or abnormal loading of the joint from other musculoskeletal abnormalities. </w:t>
      </w:r>
    </w:p>
    <w:p w14:paraId="4014DD20" w14:textId="410DE0E8" w:rsidR="00BF208B" w:rsidRDefault="007046DE" w:rsidP="00F92967">
      <w:pPr>
        <w:rPr>
          <w:rFonts w:asciiTheme="minorHAnsi" w:hAnsiTheme="minorHAnsi" w:cstheme="minorHAnsi"/>
          <w:szCs w:val="20"/>
        </w:rPr>
      </w:pPr>
      <w:r>
        <w:t>Cartilage defects can be graded according to the ICRS) Grading System (</w:t>
      </w:r>
      <w:r w:rsidR="007339F2">
        <w:t xml:space="preserve">grade </w:t>
      </w:r>
      <w:r>
        <w:t>1 to 4), which takes into account the depth of the lesion in relation to the underlying subchondral bone. When lesions involve the subchondral bone (i.e. the bone is exposed or damaged; ICRS grade 4), they are referred to as osteochondral lesions.</w:t>
      </w:r>
      <w:r w:rsidR="007A01EC">
        <w:t xml:space="preserve"> As cartilage is </w:t>
      </w:r>
      <w:r w:rsidR="00A830B1">
        <w:t>not innervated,</w:t>
      </w:r>
      <w:r w:rsidR="00404EED">
        <w:t xml:space="preserve"> </w:t>
      </w:r>
      <w:r w:rsidR="00FD38A4">
        <w:t>defects are not necessarily symptomatic</w:t>
      </w:r>
      <w:r w:rsidR="00CD4953">
        <w:t xml:space="preserve">, and may </w:t>
      </w:r>
      <w:r w:rsidR="00CD4953" w:rsidRPr="00C65284">
        <w:rPr>
          <w:rFonts w:asciiTheme="minorHAnsi" w:hAnsiTheme="minorHAnsi" w:cstheme="minorHAnsi"/>
          <w:szCs w:val="20"/>
        </w:rPr>
        <w:t xml:space="preserve">be detected incidentally on </w:t>
      </w:r>
      <w:r w:rsidR="007739BA">
        <w:rPr>
          <w:rFonts w:asciiTheme="minorHAnsi" w:hAnsiTheme="minorHAnsi" w:cstheme="minorHAnsi"/>
          <w:szCs w:val="20"/>
        </w:rPr>
        <w:t>magnetic resonance imaging (</w:t>
      </w:r>
      <w:r w:rsidR="00CD4953" w:rsidRPr="00C65284">
        <w:rPr>
          <w:rFonts w:asciiTheme="minorHAnsi" w:hAnsiTheme="minorHAnsi" w:cstheme="minorHAnsi"/>
          <w:szCs w:val="20"/>
        </w:rPr>
        <w:t>MRI</w:t>
      </w:r>
      <w:r w:rsidR="007739BA">
        <w:rPr>
          <w:rFonts w:asciiTheme="minorHAnsi" w:hAnsiTheme="minorHAnsi" w:cstheme="minorHAnsi"/>
          <w:szCs w:val="20"/>
        </w:rPr>
        <w:t>)</w:t>
      </w:r>
      <w:r w:rsidR="00CD4953" w:rsidRPr="00C65284">
        <w:rPr>
          <w:rFonts w:asciiTheme="minorHAnsi" w:hAnsiTheme="minorHAnsi" w:cstheme="minorHAnsi"/>
          <w:szCs w:val="20"/>
        </w:rPr>
        <w:t xml:space="preserve"> or arthroscopy</w:t>
      </w:r>
      <w:r w:rsidR="00FD38A4">
        <w:t xml:space="preserve">. </w:t>
      </w:r>
      <w:r w:rsidR="00AD0B8E" w:rsidRPr="00C65284">
        <w:rPr>
          <w:rFonts w:asciiTheme="minorHAnsi" w:hAnsiTheme="minorHAnsi" w:cstheme="minorHAnsi"/>
          <w:szCs w:val="20"/>
        </w:rPr>
        <w:t xml:space="preserve">Patients with </w:t>
      </w:r>
      <w:r w:rsidR="0061116A">
        <w:rPr>
          <w:rFonts w:asciiTheme="minorHAnsi" w:hAnsiTheme="minorHAnsi" w:cstheme="minorHAnsi"/>
          <w:szCs w:val="20"/>
        </w:rPr>
        <w:t xml:space="preserve">symptomatic </w:t>
      </w:r>
      <w:r w:rsidR="00AD0B8E" w:rsidRPr="00C65284">
        <w:rPr>
          <w:rFonts w:asciiTheme="minorHAnsi" w:hAnsiTheme="minorHAnsi" w:cstheme="minorHAnsi"/>
          <w:szCs w:val="20"/>
        </w:rPr>
        <w:t>cartilage defects, particularly grade 3 and 4 lesions,</w:t>
      </w:r>
      <w:r w:rsidR="0061116A">
        <w:rPr>
          <w:rFonts w:asciiTheme="minorHAnsi" w:hAnsiTheme="minorHAnsi" w:cstheme="minorHAnsi"/>
          <w:szCs w:val="20"/>
        </w:rPr>
        <w:t xml:space="preserve"> </w:t>
      </w:r>
      <w:r w:rsidR="004B4ED5">
        <w:rPr>
          <w:rFonts w:asciiTheme="minorHAnsi" w:hAnsiTheme="minorHAnsi" w:cstheme="minorHAnsi"/>
          <w:szCs w:val="20"/>
        </w:rPr>
        <w:t xml:space="preserve">may </w:t>
      </w:r>
      <w:r w:rsidR="00AD0B8E" w:rsidRPr="00C65284">
        <w:rPr>
          <w:rFonts w:asciiTheme="minorHAnsi" w:hAnsiTheme="minorHAnsi" w:cstheme="minorHAnsi"/>
          <w:szCs w:val="20"/>
        </w:rPr>
        <w:t>suffer pain, effusion, locking of the joint or instability</w:t>
      </w:r>
      <w:r w:rsidR="008C600D">
        <w:rPr>
          <w:rFonts w:asciiTheme="minorHAnsi" w:hAnsiTheme="minorHAnsi" w:cstheme="minorHAnsi"/>
          <w:szCs w:val="20"/>
        </w:rPr>
        <w:t>, which</w:t>
      </w:r>
      <w:r w:rsidR="00AD0B8E" w:rsidRPr="00C65284">
        <w:rPr>
          <w:rFonts w:asciiTheme="minorHAnsi" w:hAnsiTheme="minorHAnsi" w:cstheme="minorHAnsi"/>
          <w:szCs w:val="20"/>
        </w:rPr>
        <w:t xml:space="preserve"> can significantly interfere with activities of daily living. Functional impairment can be equivalent to that of patients eligible for knee arthroplasty</w:t>
      </w:r>
      <w:r w:rsidR="00AD0B8E">
        <w:rPr>
          <w:rFonts w:asciiTheme="minorHAnsi" w:hAnsiTheme="minorHAnsi" w:cstheme="minorHAnsi"/>
          <w:szCs w:val="20"/>
        </w:rPr>
        <w:t xml:space="preserve"> (Heir </w:t>
      </w:r>
      <w:r w:rsidR="002924DD">
        <w:rPr>
          <w:rFonts w:asciiTheme="minorHAnsi" w:hAnsiTheme="minorHAnsi" w:cstheme="minorHAnsi"/>
          <w:szCs w:val="20"/>
        </w:rPr>
        <w:t xml:space="preserve">et al. </w:t>
      </w:r>
      <w:r w:rsidR="00AD0B8E">
        <w:rPr>
          <w:rFonts w:asciiTheme="minorHAnsi" w:hAnsiTheme="minorHAnsi" w:cstheme="minorHAnsi"/>
          <w:szCs w:val="20"/>
        </w:rPr>
        <w:t>2010)</w:t>
      </w:r>
      <w:r w:rsidR="00582B44">
        <w:rPr>
          <w:rFonts w:asciiTheme="minorHAnsi" w:hAnsiTheme="minorHAnsi" w:cstheme="minorHAnsi"/>
          <w:szCs w:val="20"/>
        </w:rPr>
        <w:t>.</w:t>
      </w:r>
      <w:r w:rsidR="00A81EBD">
        <w:rPr>
          <w:rFonts w:asciiTheme="minorHAnsi" w:hAnsiTheme="minorHAnsi" w:cstheme="minorHAnsi"/>
          <w:szCs w:val="20"/>
        </w:rPr>
        <w:t xml:space="preserve"> </w:t>
      </w:r>
    </w:p>
    <w:p w14:paraId="580CB119" w14:textId="587439ED" w:rsidR="00F92967" w:rsidRPr="00A81EBD" w:rsidRDefault="007046DE" w:rsidP="00F92967">
      <w:pPr>
        <w:rPr>
          <w:rFonts w:asciiTheme="minorHAnsi" w:hAnsiTheme="minorHAnsi" w:cstheme="minorHAnsi"/>
          <w:szCs w:val="20"/>
        </w:rPr>
      </w:pPr>
      <w:r>
        <w:rPr>
          <w:rFonts w:asciiTheme="minorHAnsi" w:hAnsiTheme="minorHAnsi" w:cstheme="minorHAnsi"/>
          <w:szCs w:val="20"/>
        </w:rPr>
        <w:t>First line treatment</w:t>
      </w:r>
      <w:r w:rsidR="00562409">
        <w:rPr>
          <w:rFonts w:asciiTheme="minorHAnsi" w:hAnsiTheme="minorHAnsi" w:cstheme="minorHAnsi"/>
          <w:szCs w:val="20"/>
        </w:rPr>
        <w:t xml:space="preserve"> of </w:t>
      </w:r>
      <w:r w:rsidR="00CE6D9B">
        <w:rPr>
          <w:rFonts w:asciiTheme="minorHAnsi" w:hAnsiTheme="minorHAnsi" w:cstheme="minorHAnsi"/>
          <w:szCs w:val="20"/>
        </w:rPr>
        <w:t>symptomatic chondral defects</w:t>
      </w:r>
      <w:r>
        <w:rPr>
          <w:rFonts w:asciiTheme="minorHAnsi" w:hAnsiTheme="minorHAnsi" w:cstheme="minorHAnsi"/>
          <w:szCs w:val="20"/>
        </w:rPr>
        <w:t xml:space="preserve"> is </w:t>
      </w:r>
      <w:r w:rsidR="005671E7">
        <w:rPr>
          <w:rFonts w:asciiTheme="minorHAnsi" w:hAnsiTheme="minorHAnsi" w:cstheme="minorHAnsi"/>
          <w:szCs w:val="20"/>
        </w:rPr>
        <w:t>conservative treatment</w:t>
      </w:r>
      <w:r>
        <w:rPr>
          <w:rFonts w:asciiTheme="minorHAnsi" w:hAnsiTheme="minorHAnsi" w:cstheme="minorHAnsi"/>
          <w:szCs w:val="20"/>
        </w:rPr>
        <w:t>, which can include</w:t>
      </w:r>
      <w:r w:rsidRPr="00BF208B">
        <w:rPr>
          <w:rFonts w:asciiTheme="minorHAnsi" w:hAnsiTheme="minorHAnsi" w:cstheme="minorHAnsi"/>
          <w:szCs w:val="20"/>
        </w:rPr>
        <w:t xml:space="preserve"> non-steroidal anti-inflammatories</w:t>
      </w:r>
      <w:r w:rsidR="00742657">
        <w:rPr>
          <w:rFonts w:asciiTheme="minorHAnsi" w:hAnsiTheme="minorHAnsi" w:cstheme="minorHAnsi"/>
          <w:szCs w:val="20"/>
        </w:rPr>
        <w:t xml:space="preserve">, </w:t>
      </w:r>
      <w:r w:rsidRPr="00BF208B">
        <w:rPr>
          <w:rFonts w:asciiTheme="minorHAnsi" w:hAnsiTheme="minorHAnsi" w:cstheme="minorHAnsi"/>
          <w:szCs w:val="20"/>
        </w:rPr>
        <w:t xml:space="preserve">physiotherapy </w:t>
      </w:r>
      <w:r w:rsidR="00742657">
        <w:rPr>
          <w:rFonts w:asciiTheme="minorHAnsi" w:hAnsiTheme="minorHAnsi" w:cstheme="minorHAnsi"/>
          <w:szCs w:val="20"/>
        </w:rPr>
        <w:t xml:space="preserve">and </w:t>
      </w:r>
      <w:r w:rsidR="00742657" w:rsidRPr="00A95E91">
        <w:rPr>
          <w:rFonts w:asciiTheme="minorHAnsi" w:hAnsiTheme="minorHAnsi" w:cstheme="minorHAnsi"/>
          <w:szCs w:val="20"/>
        </w:rPr>
        <w:t>corticosteroid</w:t>
      </w:r>
      <w:r w:rsidR="00742657">
        <w:rPr>
          <w:rFonts w:asciiTheme="minorHAnsi" w:hAnsiTheme="minorHAnsi" w:cstheme="minorHAnsi"/>
          <w:szCs w:val="20"/>
        </w:rPr>
        <w:t xml:space="preserve"> injections</w:t>
      </w:r>
      <w:r w:rsidR="00742657">
        <w:t xml:space="preserve">. Where </w:t>
      </w:r>
      <w:r w:rsidR="005671E7">
        <w:t>conservative treatment</w:t>
      </w:r>
      <w:r w:rsidR="00742657">
        <w:t xml:space="preserve"> has failed</w:t>
      </w:r>
      <w:r w:rsidR="00F15B4B">
        <w:t>,</w:t>
      </w:r>
      <w:r w:rsidR="00742657">
        <w:t xml:space="preserve"> </w:t>
      </w:r>
      <w:r w:rsidR="00F15B4B">
        <w:t xml:space="preserve">surgical options may be considered for </w:t>
      </w:r>
      <w:r w:rsidR="004E61A3">
        <w:t xml:space="preserve">patients with ICRS grade 3 and </w:t>
      </w:r>
      <w:r w:rsidR="00376288">
        <w:t xml:space="preserve">grade </w:t>
      </w:r>
      <w:r w:rsidR="004E61A3">
        <w:t>4 lesions</w:t>
      </w:r>
      <w:r w:rsidR="000C4AC5">
        <w:t xml:space="preserve"> </w:t>
      </w:r>
      <w:r w:rsidR="007C549F">
        <w:t>(B</w:t>
      </w:r>
      <w:r w:rsidR="00D67107">
        <w:t>ia</w:t>
      </w:r>
      <w:r w:rsidR="007C549F">
        <w:t>nt</w:t>
      </w:r>
      <w:r w:rsidR="00D97F67">
        <w:t xml:space="preserve"> et al.</w:t>
      </w:r>
      <w:r w:rsidR="007C549F">
        <w:t xml:space="preserve"> 2015</w:t>
      </w:r>
      <w:r w:rsidR="00D97F67">
        <w:t>)</w:t>
      </w:r>
      <w:r w:rsidR="004E61A3">
        <w:t xml:space="preserve">. </w:t>
      </w:r>
    </w:p>
    <w:p w14:paraId="4281D98C" w14:textId="4C79FE7F" w:rsidR="00392FE5" w:rsidRDefault="007046DE" w:rsidP="00272C72">
      <w:r>
        <w:t xml:space="preserve">A lower </w:t>
      </w:r>
      <w:r w:rsidR="00514D62">
        <w:t xml:space="preserve">age limit of 18 years </w:t>
      </w:r>
      <w:r w:rsidR="0069266D">
        <w:t xml:space="preserve">and an </w:t>
      </w:r>
      <w:r w:rsidR="00272C72">
        <w:t>upper</w:t>
      </w:r>
      <w:r w:rsidR="00BE32FF">
        <w:t xml:space="preserve"> age</w:t>
      </w:r>
      <w:r w:rsidR="00272C72">
        <w:t xml:space="preserve"> limit of 55 years</w:t>
      </w:r>
      <w:r w:rsidR="00BE32FF">
        <w:t xml:space="preserve"> </w:t>
      </w:r>
      <w:r w:rsidR="00A02D78">
        <w:t>was</w:t>
      </w:r>
      <w:r w:rsidR="00BE32FF">
        <w:t xml:space="preserve"> requested </w:t>
      </w:r>
      <w:r w:rsidR="00735A3F">
        <w:t xml:space="preserve">in </w:t>
      </w:r>
      <w:r w:rsidR="00BE32FF">
        <w:t xml:space="preserve">the </w:t>
      </w:r>
      <w:r w:rsidR="00735A3F">
        <w:t>application</w:t>
      </w:r>
      <w:r w:rsidR="00625B1F">
        <w:t xml:space="preserve">, </w:t>
      </w:r>
      <w:r w:rsidR="00CA4F78">
        <w:t>which</w:t>
      </w:r>
      <w:r w:rsidR="00625B1F">
        <w:t xml:space="preserve"> is consistent with the</w:t>
      </w:r>
      <w:r w:rsidR="007D4929" w:rsidRPr="007D4929">
        <w:t xml:space="preserve"> </w:t>
      </w:r>
      <w:r w:rsidR="007D4929" w:rsidRPr="00CB2394">
        <w:t>Australian Register of Therapeutic Goods</w:t>
      </w:r>
      <w:r w:rsidR="00625B1F">
        <w:t xml:space="preserve"> </w:t>
      </w:r>
      <w:r w:rsidR="007D4929">
        <w:t>(</w:t>
      </w:r>
      <w:r w:rsidR="00625B1F">
        <w:t>ARTG</w:t>
      </w:r>
      <w:r w:rsidR="007D4929">
        <w:t>)</w:t>
      </w:r>
      <w:r w:rsidR="00625B1F">
        <w:t xml:space="preserve"> </w:t>
      </w:r>
      <w:r w:rsidR="004A1446">
        <w:t xml:space="preserve">entry </w:t>
      </w:r>
      <w:r w:rsidR="00625B1F">
        <w:t>for</w:t>
      </w:r>
      <w:r w:rsidR="00BD6D90">
        <w:t xml:space="preserve"> </w:t>
      </w:r>
      <w:proofErr w:type="spellStart"/>
      <w:r w:rsidR="00625B1F">
        <w:t>OrthoACI</w:t>
      </w:r>
      <w:proofErr w:type="spellEnd"/>
      <w:r w:rsidR="00625B1F">
        <w:t xml:space="preserve"> (</w:t>
      </w:r>
      <w:r w:rsidR="00625B1F">
        <w:fldChar w:fldCharType="begin"/>
      </w:r>
      <w:r w:rsidR="00625B1F">
        <w:instrText xml:space="preserve"> REF _Ref160543240 \h </w:instrText>
      </w:r>
      <w:r w:rsidR="00625B1F">
        <w:fldChar w:fldCharType="separate"/>
      </w:r>
      <w:r w:rsidR="00E602A3">
        <w:t xml:space="preserve">Table </w:t>
      </w:r>
      <w:r w:rsidR="00E602A3">
        <w:rPr>
          <w:noProof/>
        </w:rPr>
        <w:t>4</w:t>
      </w:r>
      <w:r w:rsidR="00625B1F">
        <w:fldChar w:fldCharType="end"/>
      </w:r>
      <w:r w:rsidR="00DC799C">
        <w:t xml:space="preserve"> in </w:t>
      </w:r>
      <w:r w:rsidR="004D1AE8">
        <w:t>‘</w:t>
      </w:r>
      <w:r w:rsidR="009554AB">
        <w:t>Intervention; Regulatory status</w:t>
      </w:r>
      <w:r w:rsidR="004D1AE8">
        <w:t>’</w:t>
      </w:r>
      <w:r w:rsidR="009554AB">
        <w:t xml:space="preserve"> section</w:t>
      </w:r>
      <w:r w:rsidR="00AF6635">
        <w:t>)</w:t>
      </w:r>
      <w:r w:rsidR="00BE32FF">
        <w:t xml:space="preserve">. </w:t>
      </w:r>
      <w:r w:rsidR="009718D6">
        <w:t xml:space="preserve">This </w:t>
      </w:r>
      <w:r w:rsidR="00AF6635">
        <w:t xml:space="preserve">also </w:t>
      </w:r>
      <w:r w:rsidR="009718D6">
        <w:t>aligns with the</w:t>
      </w:r>
      <w:r w:rsidR="00EA7028">
        <w:t xml:space="preserve"> age of the</w:t>
      </w:r>
      <w:r w:rsidR="009718D6">
        <w:t xml:space="preserve"> population</w:t>
      </w:r>
      <w:r w:rsidR="006458D3">
        <w:t xml:space="preserve"> in the primary </w:t>
      </w:r>
      <w:r w:rsidR="00177F0F">
        <w:t xml:space="preserve">clinical </w:t>
      </w:r>
      <w:r w:rsidR="006458D3">
        <w:t>evidence (SUMMIT RCT)</w:t>
      </w:r>
      <w:r w:rsidR="00F00510">
        <w:t>. The application state</w:t>
      </w:r>
      <w:r w:rsidR="00386A24">
        <w:t>d</w:t>
      </w:r>
      <w:r w:rsidR="00F00510">
        <w:t xml:space="preserve"> ‘68% of individuals over 55 years of age have </w:t>
      </w:r>
      <w:r w:rsidR="00F00510" w:rsidRPr="00EE602F">
        <w:t xml:space="preserve">radiographic evidence of </w:t>
      </w:r>
      <w:r w:rsidR="00F00510">
        <w:t>osteoarthritis</w:t>
      </w:r>
      <w:r w:rsidR="00F00510" w:rsidRPr="00EE602F">
        <w:t xml:space="preserve"> and focal cartilage lesions arising from wear and tear associated with aging</w:t>
      </w:r>
      <w:r w:rsidR="00F00510">
        <w:t>’</w:t>
      </w:r>
      <w:r w:rsidR="00E04F89">
        <w:t xml:space="preserve">, and that these patients require </w:t>
      </w:r>
      <w:r w:rsidR="009F1842">
        <w:t>joint replacement where symptom management ceases to be effective.</w:t>
      </w:r>
      <w:r w:rsidR="00A029CA">
        <w:t xml:space="preserve"> The </w:t>
      </w:r>
      <w:r w:rsidR="00BE4341">
        <w:t xml:space="preserve">assessment report </w:t>
      </w:r>
      <w:r w:rsidR="0028700F" w:rsidRPr="00C44AD8">
        <w:t xml:space="preserve">for </w:t>
      </w:r>
      <w:r w:rsidR="00A904E7">
        <w:t xml:space="preserve">matrix-assisted </w:t>
      </w:r>
      <w:r w:rsidR="0028700F">
        <w:t>ACI/</w:t>
      </w:r>
      <w:r w:rsidR="0028700F" w:rsidRPr="00C44AD8">
        <w:t xml:space="preserve">ACI </w:t>
      </w:r>
      <w:r w:rsidR="0028700F">
        <w:t>in 2010 (</w:t>
      </w:r>
      <w:r w:rsidR="00266EBB">
        <w:t xml:space="preserve">application </w:t>
      </w:r>
      <w:r w:rsidR="0028700F">
        <w:t>114</w:t>
      </w:r>
      <w:r w:rsidR="00207922">
        <w:t>0</w:t>
      </w:r>
      <w:r w:rsidR="0028700F">
        <w:t>)</w:t>
      </w:r>
      <w:r w:rsidR="00A029CA">
        <w:t xml:space="preserve"> also </w:t>
      </w:r>
      <w:r w:rsidR="00A104DF">
        <w:t xml:space="preserve">used </w:t>
      </w:r>
      <w:r w:rsidR="008D0FBE">
        <w:t>an</w:t>
      </w:r>
      <w:r w:rsidR="00A104DF">
        <w:t xml:space="preserve"> upper age limit</w:t>
      </w:r>
      <w:r w:rsidR="008D0FBE">
        <w:t xml:space="preserve"> of 55 years</w:t>
      </w:r>
      <w:r w:rsidR="00A104DF">
        <w:t>, stating</w:t>
      </w:r>
      <w:r w:rsidR="00207922">
        <w:t xml:space="preserve"> </w:t>
      </w:r>
      <w:r w:rsidR="000B3AD7">
        <w:t xml:space="preserve">this was </w:t>
      </w:r>
      <w:r w:rsidR="00207922">
        <w:t>‘due to disease progression</w:t>
      </w:r>
      <w:r w:rsidR="000B3AD7">
        <w:t>’</w:t>
      </w:r>
      <w:r>
        <w:t xml:space="preserve">, </w:t>
      </w:r>
      <w:r w:rsidR="00A104DF">
        <w:t>without further</w:t>
      </w:r>
      <w:r>
        <w:t xml:space="preserve"> clarification.</w:t>
      </w:r>
      <w:r w:rsidR="00A104DF">
        <w:t xml:space="preserve"> </w:t>
      </w:r>
    </w:p>
    <w:p w14:paraId="7928CF44" w14:textId="6348C615" w:rsidR="00D30458" w:rsidRDefault="007046DE" w:rsidP="00272C72">
      <w:r>
        <w:rPr>
          <w:iCs/>
        </w:rPr>
        <w:t>In 2012</w:t>
      </w:r>
      <w:r w:rsidR="00BD7DF3">
        <w:rPr>
          <w:iCs/>
        </w:rPr>
        <w:t>,</w:t>
      </w:r>
      <w:r>
        <w:rPr>
          <w:iCs/>
        </w:rPr>
        <w:t xml:space="preserve"> PASC noted </w:t>
      </w:r>
      <w:r w:rsidRPr="00FC4BD9">
        <w:t>that knee replacement surgery is predominantly performed in patients aged &gt;55 years</w:t>
      </w:r>
      <w:r>
        <w:t xml:space="preserve">, and </w:t>
      </w:r>
      <w:r w:rsidRPr="00FC4BD9">
        <w:t xml:space="preserve">advised that data from the MBS and the </w:t>
      </w:r>
      <w:r w:rsidR="008240FC" w:rsidRPr="008240FC">
        <w:t>Australian Orthopaedic Association National Joint Replacement Registry</w:t>
      </w:r>
      <w:r w:rsidR="00554A93">
        <w:t xml:space="preserve"> </w:t>
      </w:r>
      <w:r w:rsidRPr="00FC4BD9">
        <w:t xml:space="preserve">should be reviewed to assist in the identification of the age range of likely recipients of treatment with </w:t>
      </w:r>
      <w:r w:rsidR="00A904E7" w:rsidRPr="00702A22">
        <w:t xml:space="preserve">matrix-assisted </w:t>
      </w:r>
      <w:r w:rsidRPr="007A1E54">
        <w:t>ACI</w:t>
      </w:r>
      <w:r>
        <w:t xml:space="preserve"> (</w:t>
      </w:r>
      <w:r>
        <w:rPr>
          <w:iCs/>
        </w:rPr>
        <w:t>DAP for application 1273)</w:t>
      </w:r>
      <w:r w:rsidRPr="00FC4BD9">
        <w:t>.</w:t>
      </w:r>
      <w:r w:rsidR="00A53CBB">
        <w:t xml:space="preserve"> </w:t>
      </w:r>
      <w:r w:rsidR="00435F96">
        <w:t>In</w:t>
      </w:r>
      <w:r>
        <w:t xml:space="preserve"> 2020,</w:t>
      </w:r>
      <w:r w:rsidR="00435F96">
        <w:t xml:space="preserve"> </w:t>
      </w:r>
      <w:r w:rsidR="0052071A">
        <w:t xml:space="preserve">PASC noted </w:t>
      </w:r>
      <w:r w:rsidR="00F94371" w:rsidRPr="00F94371">
        <w:t>there is no reason to impose an upper age limit of 55, given many people in their 60s and 70s are active and would benefit from</w:t>
      </w:r>
      <w:r w:rsidR="006F0B27">
        <w:t xml:space="preserve"> an</w:t>
      </w:r>
      <w:r w:rsidR="00F94371" w:rsidRPr="00F94371">
        <w:t xml:space="preserve"> </w:t>
      </w:r>
      <w:r w:rsidR="006F0B27">
        <w:t xml:space="preserve">intervention that would repair </w:t>
      </w:r>
      <w:r w:rsidR="00FA76AF">
        <w:t>cartilage</w:t>
      </w:r>
      <w:r w:rsidR="006F0B27">
        <w:t xml:space="preserve"> lesions</w:t>
      </w:r>
      <w:r>
        <w:t xml:space="preserve"> (Ratified PICO for BST</w:t>
      </w:r>
      <w:r w:rsidR="009F0A70">
        <w:t>-</w:t>
      </w:r>
      <w:r>
        <w:t>CarGel</w:t>
      </w:r>
      <w:r w:rsidR="00B02C68">
        <w:t>,</w:t>
      </w:r>
      <w:r>
        <w:t xml:space="preserve"> application 1569)</w:t>
      </w:r>
      <w:r w:rsidR="00F94371" w:rsidRPr="00F94371">
        <w:t>.</w:t>
      </w:r>
      <w:r w:rsidR="00715910">
        <w:t xml:space="preserve"> However, </w:t>
      </w:r>
      <w:r w:rsidR="005355DE">
        <w:t>the ARTG indication</w:t>
      </w:r>
      <w:r w:rsidR="00424E39">
        <w:t xml:space="preserve"> for OrthoACI</w:t>
      </w:r>
      <w:r w:rsidR="005355DE">
        <w:t xml:space="preserve"> and the SUMMIT trial population</w:t>
      </w:r>
      <w:r w:rsidR="00FC59E9">
        <w:t xml:space="preserve"> are restricted to patients </w:t>
      </w:r>
      <w:r w:rsidR="006F35B0">
        <w:rPr>
          <w:rFonts w:cs="Calibri"/>
        </w:rPr>
        <w:t>≤</w:t>
      </w:r>
      <w:r w:rsidR="006F35B0">
        <w:t> </w:t>
      </w:r>
      <w:r w:rsidR="00FC59E9">
        <w:t>55 years</w:t>
      </w:r>
      <w:r w:rsidR="006F35B0">
        <w:t xml:space="preserve"> of age</w:t>
      </w:r>
      <w:r w:rsidR="00E41130">
        <w:t>.</w:t>
      </w:r>
    </w:p>
    <w:p w14:paraId="6259E125" w14:textId="0AAD3153" w:rsidR="009652DF" w:rsidRDefault="007046DE" w:rsidP="00840868">
      <w:r w:rsidRPr="00840868">
        <w:lastRenderedPageBreak/>
        <w:t xml:space="preserve">The assessment report </w:t>
      </w:r>
      <w:r w:rsidR="00196950" w:rsidRPr="00840868">
        <w:t>should address</w:t>
      </w:r>
      <w:r w:rsidRPr="00840868">
        <w:t xml:space="preserve"> the applicability of </w:t>
      </w:r>
      <w:r w:rsidR="002C405F">
        <w:rPr>
          <w:iCs/>
        </w:rPr>
        <w:t xml:space="preserve">matrix-assisted </w:t>
      </w:r>
      <w:r w:rsidR="00C6799A" w:rsidRPr="00840868">
        <w:t>ACI</w:t>
      </w:r>
      <w:r w:rsidR="00805087" w:rsidRPr="00840868">
        <w:t xml:space="preserve"> to treat </w:t>
      </w:r>
      <w:r w:rsidR="00196950" w:rsidRPr="00840868">
        <w:t>tibial and patellar lesions, given the SUMMIT RCT was restricted to femoral lesions (condyles and trochlea).</w:t>
      </w:r>
    </w:p>
    <w:p w14:paraId="045C3D96" w14:textId="452127F0" w:rsidR="00A93117" w:rsidRPr="00A93117" w:rsidRDefault="007046DE" w:rsidP="00A93117">
      <w:pPr>
        <w:rPr>
          <w:rFonts w:asciiTheme="minorHAnsi" w:hAnsiTheme="minorHAnsi" w:cstheme="minorBidi"/>
          <w:i/>
          <w:iCs/>
        </w:rPr>
      </w:pPr>
      <w:r w:rsidRPr="00A93117">
        <w:rPr>
          <w:rFonts w:asciiTheme="minorHAnsi" w:hAnsiTheme="minorHAnsi" w:cstheme="minorBidi"/>
          <w:i/>
          <w:iCs/>
        </w:rPr>
        <w:t xml:space="preserve">PASC discussed the appropriateness of the upper age limit of 55 years. The applicant’s clinical expert acknowledged the difficulty in defining an upper age limit, as there are some fit and active older patients who may be good candidates for the intervention but would be excluded by an upper age limit of 55 years, but 55 years aligned with the </w:t>
      </w:r>
      <w:r w:rsidR="004B4ED5">
        <w:rPr>
          <w:rFonts w:asciiTheme="minorHAnsi" w:hAnsiTheme="minorHAnsi" w:cstheme="minorBidi"/>
          <w:i/>
          <w:iCs/>
        </w:rPr>
        <w:t xml:space="preserve">evidence base provided by the </w:t>
      </w:r>
      <w:r w:rsidRPr="00A93117">
        <w:rPr>
          <w:rFonts w:asciiTheme="minorHAnsi" w:hAnsiTheme="minorHAnsi" w:cstheme="minorBidi"/>
          <w:i/>
          <w:iCs/>
        </w:rPr>
        <w:t>SUMMIT RCT.</w:t>
      </w:r>
    </w:p>
    <w:p w14:paraId="61B34D3A" w14:textId="01B53399" w:rsidR="00A93117" w:rsidRPr="00A93117" w:rsidRDefault="007046DE" w:rsidP="00A93117">
      <w:pPr>
        <w:rPr>
          <w:rFonts w:asciiTheme="minorHAnsi" w:hAnsiTheme="minorHAnsi" w:cstheme="minorBidi"/>
          <w:i/>
          <w:iCs/>
        </w:rPr>
      </w:pPr>
      <w:r w:rsidRPr="00A93117">
        <w:rPr>
          <w:rFonts w:asciiTheme="minorHAnsi" w:hAnsiTheme="minorHAnsi" w:cstheme="minorBidi"/>
          <w:i/>
          <w:iCs/>
        </w:rPr>
        <w:t xml:space="preserve">The applicant’s clinical expert also noted the proposed lower age limit of 18 years aligned with the SUMMIT RCT and would exclude younger patients with degenerative conditions such as </w:t>
      </w:r>
      <w:r w:rsidR="00F0078E" w:rsidRPr="00F0078E">
        <w:rPr>
          <w:rFonts w:asciiTheme="minorHAnsi" w:hAnsiTheme="minorHAnsi" w:cstheme="minorBidi"/>
          <w:i/>
          <w:iCs/>
        </w:rPr>
        <w:t>osteochondritis dissecans</w:t>
      </w:r>
      <w:r w:rsidRPr="00A93117">
        <w:rPr>
          <w:rFonts w:asciiTheme="minorHAnsi" w:hAnsiTheme="minorHAnsi" w:cstheme="minorBidi"/>
          <w:i/>
          <w:iCs/>
        </w:rPr>
        <w:t>, who would otherwise be eligible for ACI. The applicant’s clinical expert also stated that long-term observational evidence is available to support use in patients younger than 18 years. PASC noted that while expanding the service to these patients may be assessed in the future, the proposed age range of 18 to 55 years is reasonable for the current assessment as it aligns with the RCT evidence and with consultation feedback from the Australian Knee Society that agreed with the proposed population. Therefore, PASC considered that the proposed population should be restricted to patients aged between 18 to 55 years.</w:t>
      </w:r>
    </w:p>
    <w:p w14:paraId="36A68A94" w14:textId="26DAE837" w:rsidR="00A93117" w:rsidRPr="00A93117" w:rsidRDefault="007046DE" w:rsidP="689CD611">
      <w:pPr>
        <w:rPr>
          <w:rFonts w:asciiTheme="minorHAnsi" w:hAnsiTheme="minorHAnsi" w:cstheme="minorBidi"/>
          <w:i/>
          <w:iCs/>
        </w:rPr>
      </w:pPr>
      <w:r w:rsidRPr="689CD611">
        <w:rPr>
          <w:rFonts w:asciiTheme="minorHAnsi" w:hAnsiTheme="minorHAnsi" w:cstheme="minorBidi"/>
          <w:i/>
          <w:iCs/>
        </w:rPr>
        <w:t>PASC discussed whether the assessment should be limited to femoral lesions only, because the SUMMIT RCT did not include tibial or patellofemoral lesions. The applicant’s clinical expert advised that symptomatic tibial lesions are uncommon (estimated at less than 5% of presentations), and there is yet-to-be published favourable observational evidence for patellofemoral lesions. PASC noted the lack of RCT evidence for lesions at other locations may be problematic. PASC stated that the assessment could include lesions at other locations but must present supporting evidence to show a benefit for lesions at such locations.</w:t>
      </w:r>
    </w:p>
    <w:p w14:paraId="2E1F27CF" w14:textId="77777777" w:rsidR="00A93117" w:rsidRPr="00A93117" w:rsidRDefault="007046DE" w:rsidP="00A93117">
      <w:pPr>
        <w:rPr>
          <w:rFonts w:asciiTheme="minorHAnsi" w:hAnsiTheme="minorHAnsi" w:cstheme="minorBidi"/>
          <w:i/>
          <w:iCs/>
        </w:rPr>
      </w:pPr>
      <w:r w:rsidRPr="00A93117">
        <w:rPr>
          <w:rFonts w:asciiTheme="minorHAnsi" w:hAnsiTheme="minorHAnsi" w:cstheme="minorBidi"/>
          <w:i/>
          <w:iCs/>
        </w:rPr>
        <w:t>PASC noted the current standard of care for the proposed patient population differed according to lesion size, and therefore advised that the PICO population should include two lesion-size groups:</w:t>
      </w:r>
    </w:p>
    <w:p w14:paraId="7C46F415" w14:textId="100A5162" w:rsidR="00A93117" w:rsidRPr="00E052A2" w:rsidRDefault="007046DE" w:rsidP="00E052A2">
      <w:pPr>
        <w:pStyle w:val="ListParagraph"/>
        <w:numPr>
          <w:ilvl w:val="0"/>
          <w:numId w:val="34"/>
        </w:numPr>
        <w:rPr>
          <w:rFonts w:asciiTheme="minorHAnsi" w:hAnsiTheme="minorHAnsi" w:cstheme="minorBidi"/>
          <w:i/>
          <w:iCs/>
        </w:rPr>
      </w:pPr>
      <w:r w:rsidRPr="00E052A2">
        <w:rPr>
          <w:rFonts w:asciiTheme="minorHAnsi" w:hAnsiTheme="minorHAnsi" w:cstheme="minorBidi"/>
          <w:i/>
          <w:iCs/>
        </w:rPr>
        <w:t>2</w:t>
      </w:r>
      <w:r w:rsidR="006B1819">
        <w:rPr>
          <w:rFonts w:asciiTheme="minorHAnsi" w:hAnsiTheme="minorHAnsi" w:cstheme="minorBidi"/>
          <w:i/>
          <w:iCs/>
        </w:rPr>
        <w:t xml:space="preserve"> </w:t>
      </w:r>
      <w:r w:rsidR="006B1819" w:rsidRPr="00E31AA0">
        <w:rPr>
          <w:rFonts w:asciiTheme="minorHAnsi" w:hAnsiTheme="minorHAnsi" w:cstheme="minorBidi"/>
          <w:i/>
          <w:iCs/>
        </w:rPr>
        <w:t>cm²</w:t>
      </w:r>
      <w:r w:rsidRPr="00E052A2">
        <w:rPr>
          <w:rFonts w:asciiTheme="minorHAnsi" w:hAnsiTheme="minorHAnsi" w:cstheme="minorBidi"/>
          <w:i/>
          <w:iCs/>
        </w:rPr>
        <w:t xml:space="preserve"> to 4 cm²</w:t>
      </w:r>
    </w:p>
    <w:p w14:paraId="490EB932" w14:textId="75F0F85B" w:rsidR="00A93117" w:rsidRPr="00E052A2" w:rsidRDefault="007046DE" w:rsidP="00E052A2">
      <w:pPr>
        <w:pStyle w:val="ListParagraph"/>
        <w:numPr>
          <w:ilvl w:val="0"/>
          <w:numId w:val="34"/>
        </w:numPr>
        <w:rPr>
          <w:rFonts w:asciiTheme="minorHAnsi" w:hAnsiTheme="minorHAnsi" w:cstheme="minorBidi"/>
          <w:i/>
          <w:iCs/>
        </w:rPr>
      </w:pPr>
      <w:r>
        <w:rPr>
          <w:rFonts w:asciiTheme="minorHAnsi" w:hAnsiTheme="minorHAnsi" w:cstheme="minorBidi"/>
          <w:i/>
          <w:iCs/>
        </w:rPr>
        <w:t xml:space="preserve">&gt; </w:t>
      </w:r>
      <w:r w:rsidRPr="00E052A2">
        <w:rPr>
          <w:rFonts w:asciiTheme="minorHAnsi" w:hAnsiTheme="minorHAnsi" w:cstheme="minorBidi"/>
          <w:i/>
          <w:iCs/>
        </w:rPr>
        <w:t>4</w:t>
      </w:r>
      <w:r w:rsidR="006B1819">
        <w:rPr>
          <w:rFonts w:asciiTheme="minorHAnsi" w:hAnsiTheme="minorHAnsi" w:cstheme="minorBidi"/>
          <w:i/>
          <w:iCs/>
        </w:rPr>
        <w:t xml:space="preserve"> </w:t>
      </w:r>
      <w:r w:rsidR="006B1819" w:rsidRPr="00E31AA0">
        <w:rPr>
          <w:rFonts w:asciiTheme="minorHAnsi" w:hAnsiTheme="minorHAnsi" w:cstheme="minorBidi"/>
          <w:i/>
          <w:iCs/>
        </w:rPr>
        <w:t>cm²</w:t>
      </w:r>
      <w:r w:rsidRPr="00E052A2">
        <w:rPr>
          <w:rFonts w:asciiTheme="minorHAnsi" w:hAnsiTheme="minorHAnsi" w:cstheme="minorBidi"/>
          <w:i/>
          <w:iCs/>
        </w:rPr>
        <w:t xml:space="preserve"> to &lt; 20 cm².  </w:t>
      </w:r>
    </w:p>
    <w:p w14:paraId="48BE3A83" w14:textId="56FA3151" w:rsidR="00A90622" w:rsidRDefault="007046DE" w:rsidP="00840868">
      <w:r w:rsidRPr="00A93117">
        <w:rPr>
          <w:rFonts w:asciiTheme="minorHAnsi" w:hAnsiTheme="minorHAnsi" w:cstheme="minorBidi"/>
          <w:i/>
          <w:iCs/>
        </w:rPr>
        <w:t>The rationale for this decision is outlined in the Comparator section of this document.</w:t>
      </w:r>
    </w:p>
    <w:p w14:paraId="0E38780D" w14:textId="77777777" w:rsidR="007A66C8" w:rsidRPr="008F1532" w:rsidRDefault="007046DE" w:rsidP="00713728">
      <w:pPr>
        <w:pStyle w:val="Heading3"/>
      </w:pPr>
      <w:r w:rsidRPr="008F1532">
        <w:t>Intervention</w:t>
      </w:r>
    </w:p>
    <w:p w14:paraId="6AE76D99" w14:textId="2A3FB3C7" w:rsidR="00022CED" w:rsidRDefault="007046DE" w:rsidP="00233D79">
      <w:pPr>
        <w:spacing w:after="240"/>
        <w:rPr>
          <w:iCs/>
        </w:rPr>
      </w:pPr>
      <w:r>
        <w:rPr>
          <w:iCs/>
        </w:rPr>
        <w:t xml:space="preserve">Matrix-assisted </w:t>
      </w:r>
      <w:r w:rsidR="00A31592">
        <w:rPr>
          <w:iCs/>
        </w:rPr>
        <w:t xml:space="preserve">ACI </w:t>
      </w:r>
      <w:r w:rsidR="001268B8" w:rsidRPr="001268B8">
        <w:rPr>
          <w:iCs/>
        </w:rPr>
        <w:t xml:space="preserve">is a two-stage </w:t>
      </w:r>
      <w:r w:rsidR="00A31592">
        <w:rPr>
          <w:iCs/>
        </w:rPr>
        <w:t>surgical</w:t>
      </w:r>
      <w:r w:rsidR="001268B8" w:rsidRPr="001268B8">
        <w:rPr>
          <w:iCs/>
        </w:rPr>
        <w:t xml:space="preserve"> </w:t>
      </w:r>
      <w:r w:rsidR="00A31592">
        <w:rPr>
          <w:iCs/>
        </w:rPr>
        <w:t>intervention</w:t>
      </w:r>
      <w:r w:rsidR="002C3159">
        <w:rPr>
          <w:iCs/>
        </w:rPr>
        <w:t xml:space="preserve">. </w:t>
      </w:r>
      <w:r w:rsidR="00233D79">
        <w:rPr>
          <w:iCs/>
        </w:rPr>
        <w:t xml:space="preserve">The </w:t>
      </w:r>
      <w:r w:rsidR="002D1B30">
        <w:rPr>
          <w:iCs/>
        </w:rPr>
        <w:t xml:space="preserve">initial </w:t>
      </w:r>
      <w:r w:rsidR="00233D79">
        <w:rPr>
          <w:iCs/>
        </w:rPr>
        <w:t>procedure</w:t>
      </w:r>
      <w:r w:rsidR="002D1B30">
        <w:rPr>
          <w:iCs/>
        </w:rPr>
        <w:t xml:space="preserve"> </w:t>
      </w:r>
      <w:r w:rsidR="00233D79">
        <w:rPr>
          <w:iCs/>
        </w:rPr>
        <w:t xml:space="preserve">is an </w:t>
      </w:r>
      <w:r w:rsidR="002D1B30">
        <w:rPr>
          <w:iCs/>
        </w:rPr>
        <w:t>arthroscopi</w:t>
      </w:r>
      <w:r w:rsidR="00233D79">
        <w:rPr>
          <w:iCs/>
        </w:rPr>
        <w:t>c biopsy that</w:t>
      </w:r>
      <w:r w:rsidR="002D1B30">
        <w:rPr>
          <w:iCs/>
        </w:rPr>
        <w:t xml:space="preserve"> harvest</w:t>
      </w:r>
      <w:r w:rsidR="00233D79">
        <w:rPr>
          <w:iCs/>
        </w:rPr>
        <w:t>s</w:t>
      </w:r>
      <w:r w:rsidR="002D1B30">
        <w:rPr>
          <w:iCs/>
        </w:rPr>
        <w:t xml:space="preserve"> </w:t>
      </w:r>
      <w:r w:rsidR="00233D79" w:rsidRPr="004F7291">
        <w:rPr>
          <w:iCs/>
        </w:rPr>
        <w:t>healthy articular cartilage from the affected joint</w:t>
      </w:r>
      <w:r w:rsidR="00233D79">
        <w:rPr>
          <w:iCs/>
        </w:rPr>
        <w:t>.</w:t>
      </w:r>
      <w:r w:rsidR="00564E3A" w:rsidRPr="00564E3A">
        <w:rPr>
          <w:iCs/>
        </w:rPr>
        <w:t xml:space="preserve"> </w:t>
      </w:r>
      <w:r w:rsidR="00BD0254">
        <w:rPr>
          <w:iCs/>
        </w:rPr>
        <w:t>In the case of OrthoACI, t</w:t>
      </w:r>
      <w:r w:rsidR="00564E3A">
        <w:rPr>
          <w:iCs/>
        </w:rPr>
        <w:t xml:space="preserve">he harvested tissue is </w:t>
      </w:r>
      <w:r w:rsidR="00237F3C">
        <w:rPr>
          <w:iCs/>
        </w:rPr>
        <w:t xml:space="preserve">transferred to a dedicated facility </w:t>
      </w:r>
      <w:r w:rsidR="00AC5BDB">
        <w:rPr>
          <w:iCs/>
        </w:rPr>
        <w:t xml:space="preserve">in Perth, </w:t>
      </w:r>
      <w:r w:rsidR="00237F3C">
        <w:rPr>
          <w:iCs/>
        </w:rPr>
        <w:t>where the c</w:t>
      </w:r>
      <w:r w:rsidR="00564E3A" w:rsidRPr="004F7291">
        <w:rPr>
          <w:iCs/>
        </w:rPr>
        <w:t>hondrocytes are isolated from the cartilage and expanded in vitro over a period of approximately five weeks.</w:t>
      </w:r>
      <w:r w:rsidR="00237F3C">
        <w:rPr>
          <w:iCs/>
        </w:rPr>
        <w:t xml:space="preserve"> </w:t>
      </w:r>
      <w:r w:rsidR="00193894">
        <w:rPr>
          <w:iCs/>
        </w:rPr>
        <w:t>On</w:t>
      </w:r>
      <w:r w:rsidR="00126625">
        <w:rPr>
          <w:iCs/>
        </w:rPr>
        <w:t>ce</w:t>
      </w:r>
      <w:r w:rsidR="00237F3C">
        <w:rPr>
          <w:iCs/>
        </w:rPr>
        <w:t xml:space="preserve"> expanded</w:t>
      </w:r>
      <w:r w:rsidR="00126625">
        <w:rPr>
          <w:iCs/>
        </w:rPr>
        <w:t>, the</w:t>
      </w:r>
      <w:r w:rsidR="00237F3C">
        <w:rPr>
          <w:iCs/>
        </w:rPr>
        <w:t xml:space="preserve"> chondrocytes are transported back to the </w:t>
      </w:r>
      <w:r w:rsidR="00A76C4B">
        <w:rPr>
          <w:iCs/>
        </w:rPr>
        <w:t xml:space="preserve">hospital where they are implanted in a </w:t>
      </w:r>
      <w:r w:rsidR="00233D79">
        <w:rPr>
          <w:iCs/>
        </w:rPr>
        <w:t>second surgery</w:t>
      </w:r>
      <w:r w:rsidR="009F2FFF">
        <w:rPr>
          <w:iCs/>
        </w:rPr>
        <w:t xml:space="preserve">. </w:t>
      </w:r>
      <w:r>
        <w:rPr>
          <w:iCs/>
        </w:rPr>
        <w:t>I</w:t>
      </w:r>
      <w:r w:rsidRPr="004F7291">
        <w:rPr>
          <w:iCs/>
        </w:rPr>
        <w:t>mmediately prior to implantation</w:t>
      </w:r>
      <w:r>
        <w:rPr>
          <w:iCs/>
        </w:rPr>
        <w:t>,</w:t>
      </w:r>
      <w:r w:rsidRPr="004F7291">
        <w:rPr>
          <w:iCs/>
        </w:rPr>
        <w:t xml:space="preserve"> </w:t>
      </w:r>
      <w:r>
        <w:rPr>
          <w:iCs/>
        </w:rPr>
        <w:t>a</w:t>
      </w:r>
      <w:r w:rsidRPr="004F7291">
        <w:rPr>
          <w:iCs/>
        </w:rPr>
        <w:t xml:space="preserve"> supporting collage</w:t>
      </w:r>
      <w:r>
        <w:rPr>
          <w:iCs/>
        </w:rPr>
        <w:t>n</w:t>
      </w:r>
      <w:r w:rsidRPr="004F7291">
        <w:rPr>
          <w:iCs/>
        </w:rPr>
        <w:t xml:space="preserve"> </w:t>
      </w:r>
      <w:r w:rsidR="00D46235">
        <w:rPr>
          <w:iCs/>
        </w:rPr>
        <w:t>matrix</w:t>
      </w:r>
      <w:r w:rsidRPr="004F7291">
        <w:rPr>
          <w:iCs/>
        </w:rPr>
        <w:t xml:space="preserve"> is trimmed to the appropriate size</w:t>
      </w:r>
      <w:r w:rsidR="003C50EB">
        <w:rPr>
          <w:iCs/>
        </w:rPr>
        <w:t xml:space="preserve"> and</w:t>
      </w:r>
      <w:r w:rsidR="00BE00ED">
        <w:rPr>
          <w:iCs/>
        </w:rPr>
        <w:t xml:space="preserve"> </w:t>
      </w:r>
      <w:r w:rsidRPr="004F7291">
        <w:rPr>
          <w:iCs/>
        </w:rPr>
        <w:t>seeded with the cultured chondrocytes</w:t>
      </w:r>
      <w:r w:rsidR="003C50EB">
        <w:rPr>
          <w:iCs/>
        </w:rPr>
        <w:t xml:space="preserve">. The matrix is then </w:t>
      </w:r>
      <w:r w:rsidR="00BE00ED">
        <w:rPr>
          <w:iCs/>
        </w:rPr>
        <w:t>placed over the lesion</w:t>
      </w:r>
      <w:r w:rsidR="003C50EB">
        <w:rPr>
          <w:iCs/>
        </w:rPr>
        <w:t xml:space="preserve"> and </w:t>
      </w:r>
      <w:r w:rsidR="00662B3B" w:rsidRPr="004F7291">
        <w:rPr>
          <w:iCs/>
        </w:rPr>
        <w:t>fixed in place with fibrin glue.</w:t>
      </w:r>
      <w:r w:rsidR="002C3159">
        <w:rPr>
          <w:iCs/>
        </w:rPr>
        <w:t xml:space="preserve"> </w:t>
      </w:r>
      <w:r w:rsidR="002C3159" w:rsidRPr="002C3159">
        <w:rPr>
          <w:iCs/>
        </w:rPr>
        <w:t>The joint is then articulated through its full range of motion</w:t>
      </w:r>
      <w:r w:rsidR="003C6B99">
        <w:rPr>
          <w:iCs/>
        </w:rPr>
        <w:t xml:space="preserve"> to </w:t>
      </w:r>
      <w:r w:rsidR="000A7E3B" w:rsidRPr="002C3159">
        <w:rPr>
          <w:iCs/>
        </w:rPr>
        <w:t>confirm</w:t>
      </w:r>
      <w:r w:rsidR="002C3159" w:rsidRPr="002C3159">
        <w:rPr>
          <w:iCs/>
        </w:rPr>
        <w:t xml:space="preserve"> the scaffold will not be dislodged during normal movement.</w:t>
      </w:r>
      <w:r w:rsidR="00F95879">
        <w:rPr>
          <w:iCs/>
        </w:rPr>
        <w:t xml:space="preserve"> </w:t>
      </w:r>
    </w:p>
    <w:p w14:paraId="657F2CA1" w14:textId="1421BFE0" w:rsidR="002C4F74" w:rsidRDefault="007046DE" w:rsidP="002C4F74">
      <w:pPr>
        <w:spacing w:after="240"/>
        <w:rPr>
          <w:iCs/>
        </w:rPr>
      </w:pPr>
      <w:r>
        <w:rPr>
          <w:iCs/>
        </w:rPr>
        <w:t xml:space="preserve">Over time, the mechanisms </w:t>
      </w:r>
      <w:r w:rsidR="00B82E7B">
        <w:rPr>
          <w:iCs/>
        </w:rPr>
        <w:t>used to prevent chondrocyte</w:t>
      </w:r>
      <w:r w:rsidR="004B4117">
        <w:rPr>
          <w:iCs/>
        </w:rPr>
        <w:t xml:space="preserve"> leakage from the lesion after implantation ha</w:t>
      </w:r>
      <w:r>
        <w:rPr>
          <w:iCs/>
        </w:rPr>
        <w:t xml:space="preserve">ve </w:t>
      </w:r>
      <w:r w:rsidR="00464677">
        <w:rPr>
          <w:iCs/>
        </w:rPr>
        <w:t>evolved (</w:t>
      </w:r>
      <w:r w:rsidR="00464677">
        <w:rPr>
          <w:iCs/>
        </w:rPr>
        <w:fldChar w:fldCharType="begin"/>
      </w:r>
      <w:r w:rsidR="00464677">
        <w:rPr>
          <w:iCs/>
        </w:rPr>
        <w:instrText xml:space="preserve"> REF _Ref160797199 \h </w:instrText>
      </w:r>
      <w:r w:rsidR="00464677">
        <w:rPr>
          <w:iCs/>
        </w:rPr>
      </w:r>
      <w:r w:rsidR="00464677">
        <w:rPr>
          <w:iCs/>
        </w:rPr>
        <w:fldChar w:fldCharType="separate"/>
      </w:r>
      <w:r w:rsidR="00E602A3">
        <w:t xml:space="preserve">Table </w:t>
      </w:r>
      <w:r w:rsidR="00E602A3">
        <w:rPr>
          <w:noProof/>
        </w:rPr>
        <w:t>3</w:t>
      </w:r>
      <w:r w:rsidR="00464677">
        <w:rPr>
          <w:iCs/>
        </w:rPr>
        <w:fldChar w:fldCharType="end"/>
      </w:r>
      <w:r w:rsidR="00464677">
        <w:rPr>
          <w:iCs/>
        </w:rPr>
        <w:t>)</w:t>
      </w:r>
      <w:r w:rsidR="004B4117">
        <w:rPr>
          <w:iCs/>
        </w:rPr>
        <w:t xml:space="preserve">. </w:t>
      </w:r>
      <w:r>
        <w:rPr>
          <w:iCs/>
        </w:rPr>
        <w:t>First</w:t>
      </w:r>
      <w:r w:rsidR="005D21EE">
        <w:rPr>
          <w:iCs/>
        </w:rPr>
        <w:t xml:space="preserve"> </w:t>
      </w:r>
      <w:r>
        <w:rPr>
          <w:iCs/>
        </w:rPr>
        <w:t xml:space="preserve">generation ACI involved injecting a liquid suspension of expanded chondrocytes </w:t>
      </w:r>
      <w:r>
        <w:rPr>
          <w:iCs/>
        </w:rPr>
        <w:lastRenderedPageBreak/>
        <w:t xml:space="preserve">into the lesion and preventing leakage by capping with a </w:t>
      </w:r>
      <w:r w:rsidRPr="00B96DF7">
        <w:rPr>
          <w:iCs/>
        </w:rPr>
        <w:t>periosteal patch</w:t>
      </w:r>
      <w:r>
        <w:rPr>
          <w:iCs/>
        </w:rPr>
        <w:t xml:space="preserve"> (ACI-P; indicating periosteum), which was typically harvested from the patient’s tissue around the proximal medial tibia. This approach led to adverse events associated with the patch such as graft hypertrophy, often requiring </w:t>
      </w:r>
      <w:r w:rsidRPr="004859BA">
        <w:rPr>
          <w:iCs/>
        </w:rPr>
        <w:t>further procedures to</w:t>
      </w:r>
      <w:r>
        <w:rPr>
          <w:iCs/>
        </w:rPr>
        <w:t xml:space="preserve"> </w:t>
      </w:r>
      <w:r w:rsidRPr="004859BA">
        <w:rPr>
          <w:iCs/>
        </w:rPr>
        <w:t>remove</w:t>
      </w:r>
      <w:r>
        <w:rPr>
          <w:iCs/>
        </w:rPr>
        <w:t xml:space="preserve"> the</w:t>
      </w:r>
      <w:r w:rsidRPr="004859BA">
        <w:rPr>
          <w:iCs/>
        </w:rPr>
        <w:t xml:space="preserve"> overgrowth</w:t>
      </w:r>
      <w:r>
        <w:rPr>
          <w:iCs/>
        </w:rPr>
        <w:t>. A second generation of the technique used a cap made of collagen</w:t>
      </w:r>
      <w:r w:rsidR="002F7332">
        <w:rPr>
          <w:iCs/>
        </w:rPr>
        <w:t xml:space="preserve"> or hyaluron</w:t>
      </w:r>
      <w:r w:rsidR="002F5A23">
        <w:rPr>
          <w:iCs/>
        </w:rPr>
        <w:t>an</w:t>
      </w:r>
      <w:r>
        <w:rPr>
          <w:iCs/>
        </w:rPr>
        <w:t xml:space="preserve"> to contain the liquid cell suspension within the lesion, and this is sometimes referred to as ACI</w:t>
      </w:r>
      <w:r w:rsidR="002D28B1">
        <w:rPr>
          <w:iCs/>
        </w:rPr>
        <w:noBreakHyphen/>
      </w:r>
      <w:r>
        <w:rPr>
          <w:iCs/>
        </w:rPr>
        <w:t xml:space="preserve">C (indicating collagen cap). </w:t>
      </w:r>
    </w:p>
    <w:p w14:paraId="6231AF62" w14:textId="09CB9829" w:rsidR="00EF28E7" w:rsidRDefault="007046DE" w:rsidP="00EF28E7">
      <w:pPr>
        <w:spacing w:after="240"/>
        <w:rPr>
          <w:iCs/>
        </w:rPr>
      </w:pPr>
      <w:r>
        <w:rPr>
          <w:iCs/>
        </w:rPr>
        <w:t xml:space="preserve">The third generation </w:t>
      </w:r>
      <w:r w:rsidR="00031ACF">
        <w:rPr>
          <w:iCs/>
        </w:rPr>
        <w:t xml:space="preserve">of ACI </w:t>
      </w:r>
      <w:r w:rsidR="00350D14">
        <w:rPr>
          <w:iCs/>
        </w:rPr>
        <w:t>use</w:t>
      </w:r>
      <w:r>
        <w:rPr>
          <w:iCs/>
        </w:rPr>
        <w:t>s</w:t>
      </w:r>
      <w:r w:rsidR="00350D14">
        <w:rPr>
          <w:iCs/>
        </w:rPr>
        <w:t xml:space="preserve"> a collagen matrix embedded with chondrocytes to retain the cells at the lesion</w:t>
      </w:r>
      <w:r w:rsidR="00F33826">
        <w:rPr>
          <w:iCs/>
        </w:rPr>
        <w:t xml:space="preserve"> (matrix-assisted ACI)</w:t>
      </w:r>
      <w:r w:rsidR="0089646E">
        <w:rPr>
          <w:iCs/>
        </w:rPr>
        <w:t xml:space="preserve">. </w:t>
      </w:r>
      <w:r w:rsidR="003B7C80">
        <w:rPr>
          <w:iCs/>
        </w:rPr>
        <w:t xml:space="preserve">The </w:t>
      </w:r>
      <w:r w:rsidR="000F5710">
        <w:rPr>
          <w:iCs/>
        </w:rPr>
        <w:t>SUMMIT RCT</w:t>
      </w:r>
      <w:r w:rsidR="003B7C80">
        <w:rPr>
          <w:iCs/>
        </w:rPr>
        <w:t xml:space="preserve"> </w:t>
      </w:r>
      <w:r w:rsidR="00D97F30">
        <w:rPr>
          <w:iCs/>
        </w:rPr>
        <w:t>used</w:t>
      </w:r>
      <w:r w:rsidR="003B7C80">
        <w:rPr>
          <w:iCs/>
        </w:rPr>
        <w:t xml:space="preserve"> </w:t>
      </w:r>
      <w:r w:rsidR="00AA1714">
        <w:rPr>
          <w:iCs/>
        </w:rPr>
        <w:t>this</w:t>
      </w:r>
      <w:r w:rsidR="00D97F30">
        <w:rPr>
          <w:iCs/>
        </w:rPr>
        <w:t xml:space="preserve"> </w:t>
      </w:r>
      <w:r w:rsidR="0060710E">
        <w:rPr>
          <w:iCs/>
        </w:rPr>
        <w:t xml:space="preserve">technique, </w:t>
      </w:r>
      <w:r w:rsidR="00D97F30">
        <w:rPr>
          <w:iCs/>
        </w:rPr>
        <w:t>with</w:t>
      </w:r>
      <w:r w:rsidR="0060710E">
        <w:rPr>
          <w:iCs/>
        </w:rPr>
        <w:t xml:space="preserve"> chondrocyte expansion</w:t>
      </w:r>
      <w:r w:rsidR="00D97F30">
        <w:rPr>
          <w:iCs/>
        </w:rPr>
        <w:t xml:space="preserve"> supplied</w:t>
      </w:r>
      <w:r w:rsidR="0060710E">
        <w:rPr>
          <w:iCs/>
        </w:rPr>
        <w:t xml:space="preserve"> by Genzyme Biosurgery</w:t>
      </w:r>
      <w:r w:rsidR="00753DCB">
        <w:rPr>
          <w:iCs/>
        </w:rPr>
        <w:t xml:space="preserve"> (</w:t>
      </w:r>
      <w:r w:rsidR="00753DCB" w:rsidRPr="00753DCB">
        <w:rPr>
          <w:iCs/>
        </w:rPr>
        <w:t>Cambridge,</w:t>
      </w:r>
      <w:r w:rsidR="00753DCB">
        <w:rPr>
          <w:iCs/>
        </w:rPr>
        <w:t xml:space="preserve"> </w:t>
      </w:r>
      <w:r w:rsidR="00753DCB" w:rsidRPr="00753DCB">
        <w:rPr>
          <w:iCs/>
        </w:rPr>
        <w:t>Massachusetts, USA</w:t>
      </w:r>
      <w:r w:rsidR="00753DCB">
        <w:rPr>
          <w:iCs/>
        </w:rPr>
        <w:t>)</w:t>
      </w:r>
      <w:r w:rsidR="00AA1714">
        <w:rPr>
          <w:iCs/>
        </w:rPr>
        <w:t xml:space="preserve">. </w:t>
      </w:r>
      <w:r w:rsidR="00F8501A">
        <w:rPr>
          <w:iCs/>
        </w:rPr>
        <w:t xml:space="preserve">The applicant’s product, OrthoACI, is a </w:t>
      </w:r>
      <w:r w:rsidR="00387E19">
        <w:rPr>
          <w:iCs/>
        </w:rPr>
        <w:t>chondrocyte expansion service that is also implanted using</w:t>
      </w:r>
      <w:r w:rsidR="00F8501A">
        <w:rPr>
          <w:iCs/>
        </w:rPr>
        <w:t xml:space="preserve"> a </w:t>
      </w:r>
      <w:r w:rsidR="004C0366">
        <w:rPr>
          <w:iCs/>
        </w:rPr>
        <w:t>collagen matrix</w:t>
      </w:r>
      <w:r w:rsidR="00F91CEB">
        <w:rPr>
          <w:iCs/>
        </w:rPr>
        <w:t>.</w:t>
      </w:r>
    </w:p>
    <w:p w14:paraId="174DCA85" w14:textId="02D4C78B" w:rsidR="00FD2136" w:rsidRDefault="007046DE" w:rsidP="00FD2136">
      <w:pPr>
        <w:spacing w:after="240"/>
        <w:rPr>
          <w:iCs/>
        </w:rPr>
      </w:pPr>
      <w:r>
        <w:rPr>
          <w:iCs/>
        </w:rPr>
        <w:t xml:space="preserve">A fourth generation </w:t>
      </w:r>
      <w:r w:rsidR="005A1E28">
        <w:rPr>
          <w:iCs/>
        </w:rPr>
        <w:t xml:space="preserve">of </w:t>
      </w:r>
      <w:r>
        <w:rPr>
          <w:iCs/>
        </w:rPr>
        <w:t xml:space="preserve">techniques is now emerging that do not involve the use a collagen matrix or cap. </w:t>
      </w:r>
    </w:p>
    <w:p w14:paraId="2F101A7B" w14:textId="574A50C6" w:rsidR="004B4117" w:rsidRDefault="007046DE" w:rsidP="004B4117">
      <w:pPr>
        <w:pStyle w:val="Caption"/>
        <w:rPr>
          <w:iCs/>
        </w:rPr>
      </w:pPr>
      <w:bookmarkStart w:id="4" w:name="_Ref160797199"/>
      <w:r>
        <w:t xml:space="preserve">Table </w:t>
      </w:r>
      <w:r>
        <w:fldChar w:fldCharType="begin"/>
      </w:r>
      <w:r>
        <w:instrText xml:space="preserve"> SEQ Table \* ARABIC </w:instrText>
      </w:r>
      <w:r>
        <w:fldChar w:fldCharType="separate"/>
      </w:r>
      <w:r w:rsidR="00E602A3">
        <w:rPr>
          <w:noProof/>
        </w:rPr>
        <w:t>3</w:t>
      </w:r>
      <w:r>
        <w:fldChar w:fldCharType="end"/>
      </w:r>
      <w:bookmarkEnd w:id="4"/>
      <w:r>
        <w:tab/>
        <w:t xml:space="preserve">Generations of </w:t>
      </w:r>
      <w:r w:rsidR="002A21DB">
        <w:t>chondrocyte delivery and retention techniques for ACI</w:t>
      </w:r>
    </w:p>
    <w:tbl>
      <w:tblPr>
        <w:tblStyle w:val="TableGrid"/>
        <w:tblW w:w="9856" w:type="dxa"/>
        <w:tblLook w:val="04A0" w:firstRow="1" w:lastRow="0" w:firstColumn="1" w:lastColumn="0" w:noHBand="0" w:noVBand="1"/>
        <w:tblCaption w:val="Table 3 Generations of chondrocyte delivery and retention techniques for ACI"/>
        <w:tblDescription w:val="A table listing the four generations of ACI, with a description of the various techniques used to prevent leakage of chondrocytes from lesion. "/>
      </w:tblPr>
      <w:tblGrid>
        <w:gridCol w:w="1129"/>
        <w:gridCol w:w="1843"/>
        <w:gridCol w:w="4516"/>
        <w:gridCol w:w="1155"/>
        <w:gridCol w:w="1213"/>
      </w:tblGrid>
      <w:tr w:rsidR="00FD7D5C" w14:paraId="0CF8C8CA" w14:textId="3B431BA0" w:rsidTr="008736F4">
        <w:trPr>
          <w:tblHeader/>
        </w:trPr>
        <w:tc>
          <w:tcPr>
            <w:tcW w:w="1129" w:type="dxa"/>
          </w:tcPr>
          <w:p w14:paraId="2B31062E" w14:textId="77777777" w:rsidR="000A1D2C" w:rsidRPr="008943CA" w:rsidRDefault="007046DE" w:rsidP="000A1D2C">
            <w:pPr>
              <w:pStyle w:val="TableHeading"/>
            </w:pPr>
            <w:r w:rsidRPr="008943CA">
              <w:t>Generation of technique</w:t>
            </w:r>
          </w:p>
        </w:tc>
        <w:tc>
          <w:tcPr>
            <w:tcW w:w="1843" w:type="dxa"/>
          </w:tcPr>
          <w:p w14:paraId="12C6DD31" w14:textId="5BCC05D9" w:rsidR="000A1D2C" w:rsidRPr="008943CA" w:rsidRDefault="007046DE" w:rsidP="000A1D2C">
            <w:pPr>
              <w:pStyle w:val="TableHeading"/>
            </w:pPr>
            <w:r>
              <w:t>Technique</w:t>
            </w:r>
          </w:p>
        </w:tc>
        <w:tc>
          <w:tcPr>
            <w:tcW w:w="4516" w:type="dxa"/>
          </w:tcPr>
          <w:p w14:paraId="72206967" w14:textId="0D1DE1E7" w:rsidR="000A1D2C" w:rsidRPr="008943CA" w:rsidRDefault="007046DE" w:rsidP="000A1D2C">
            <w:pPr>
              <w:pStyle w:val="TableHeading"/>
            </w:pPr>
            <w:r>
              <w:t>Details</w:t>
            </w:r>
          </w:p>
        </w:tc>
        <w:tc>
          <w:tcPr>
            <w:tcW w:w="1155" w:type="dxa"/>
          </w:tcPr>
          <w:p w14:paraId="5079C857" w14:textId="5146E5B3" w:rsidR="000A1D2C" w:rsidRDefault="007046DE" w:rsidP="000A1D2C">
            <w:pPr>
              <w:pStyle w:val="TableHeading"/>
            </w:pPr>
            <w:r>
              <w:t xml:space="preserve">Applicant-proposed intervention </w:t>
            </w:r>
          </w:p>
        </w:tc>
        <w:tc>
          <w:tcPr>
            <w:tcW w:w="1213" w:type="dxa"/>
          </w:tcPr>
          <w:p w14:paraId="607894FE" w14:textId="5072FFC4" w:rsidR="000A1D2C" w:rsidRPr="008943CA" w:rsidRDefault="007046DE" w:rsidP="000A1D2C">
            <w:pPr>
              <w:pStyle w:val="TableHeading"/>
            </w:pPr>
            <w:r>
              <w:t xml:space="preserve">Included </w:t>
            </w:r>
            <w:r w:rsidR="003117BD">
              <w:t>in</w:t>
            </w:r>
            <w:r>
              <w:t xml:space="preserve"> </w:t>
            </w:r>
            <w:r w:rsidR="00086F0E">
              <w:t>Summary of</w:t>
            </w:r>
            <w:r>
              <w:t xml:space="preserve"> </w:t>
            </w:r>
            <w:r w:rsidR="00086F0E">
              <w:t xml:space="preserve">Evidence </w:t>
            </w:r>
            <w:r w:rsidR="003117BD">
              <w:t>table</w:t>
            </w:r>
          </w:p>
        </w:tc>
      </w:tr>
      <w:tr w:rsidR="00FD7D5C" w14:paraId="625D7C8B" w14:textId="0DFEB037" w:rsidTr="008736F4">
        <w:tc>
          <w:tcPr>
            <w:tcW w:w="1129" w:type="dxa"/>
          </w:tcPr>
          <w:p w14:paraId="3F3BB22B" w14:textId="0FD79B29" w:rsidR="000A1D2C" w:rsidRPr="008943CA" w:rsidRDefault="007046DE" w:rsidP="000A1D2C">
            <w:pPr>
              <w:pStyle w:val="TableText0"/>
            </w:pPr>
            <w:r w:rsidRPr="008943CA">
              <w:t>First</w:t>
            </w:r>
          </w:p>
        </w:tc>
        <w:tc>
          <w:tcPr>
            <w:tcW w:w="1843" w:type="dxa"/>
          </w:tcPr>
          <w:p w14:paraId="702EEBB8" w14:textId="77777777" w:rsidR="000A1D2C" w:rsidRPr="008943CA" w:rsidRDefault="007046DE" w:rsidP="000A1D2C">
            <w:pPr>
              <w:pStyle w:val="TableText0"/>
            </w:pPr>
            <w:r w:rsidRPr="008943CA">
              <w:t>ACI-P</w:t>
            </w:r>
          </w:p>
        </w:tc>
        <w:tc>
          <w:tcPr>
            <w:tcW w:w="4516" w:type="dxa"/>
          </w:tcPr>
          <w:p w14:paraId="5315D25A" w14:textId="01B6EDA1" w:rsidR="000A1D2C" w:rsidRPr="008943CA" w:rsidRDefault="007046DE" w:rsidP="000A1D2C">
            <w:pPr>
              <w:pStyle w:val="TableText0"/>
            </w:pPr>
            <w:r w:rsidRPr="008943CA">
              <w:rPr>
                <w:iCs/>
              </w:rPr>
              <w:t>periosteal patch</w:t>
            </w:r>
            <w:r w:rsidR="00A86D12">
              <w:rPr>
                <w:iCs/>
              </w:rPr>
              <w:t xml:space="preserve"> </w:t>
            </w:r>
            <w:r w:rsidR="0080382C">
              <w:rPr>
                <w:iCs/>
              </w:rPr>
              <w:t xml:space="preserve">secured with sutures to </w:t>
            </w:r>
            <w:r w:rsidR="00A86D12">
              <w:rPr>
                <w:iCs/>
              </w:rPr>
              <w:t>cover injected cell suspension</w:t>
            </w:r>
          </w:p>
        </w:tc>
        <w:tc>
          <w:tcPr>
            <w:tcW w:w="1155" w:type="dxa"/>
            <w:vAlign w:val="center"/>
          </w:tcPr>
          <w:p w14:paraId="5A608CB1" w14:textId="3B4EBE37" w:rsidR="000A1D2C" w:rsidRPr="008943CA" w:rsidRDefault="007046DE" w:rsidP="002D0A86">
            <w:pPr>
              <w:pStyle w:val="TableText0"/>
              <w:jc w:val="center"/>
            </w:pPr>
            <w:r>
              <w:rPr>
                <w:rFonts w:ascii="Wingdings" w:eastAsia="Wingdings" w:hAnsi="Wingdings" w:cs="Wingdings"/>
              </w:rPr>
              <w:t>û</w:t>
            </w:r>
          </w:p>
        </w:tc>
        <w:tc>
          <w:tcPr>
            <w:tcW w:w="1213" w:type="dxa"/>
            <w:vAlign w:val="center"/>
          </w:tcPr>
          <w:p w14:paraId="07339EBD" w14:textId="1D3B7DD4" w:rsidR="000A1D2C" w:rsidRPr="008943CA" w:rsidRDefault="007046DE" w:rsidP="002D0A86">
            <w:pPr>
              <w:pStyle w:val="TableText0"/>
              <w:jc w:val="center"/>
            </w:pPr>
            <w:r>
              <w:rPr>
                <w:rFonts w:ascii="Wingdings" w:eastAsia="Wingdings" w:hAnsi="Wingdings" w:cs="Wingdings"/>
              </w:rPr>
              <w:t>ü</w:t>
            </w:r>
          </w:p>
        </w:tc>
      </w:tr>
      <w:tr w:rsidR="00FD7D5C" w14:paraId="1195F297" w14:textId="330A732E" w:rsidTr="008736F4">
        <w:tc>
          <w:tcPr>
            <w:tcW w:w="1129" w:type="dxa"/>
          </w:tcPr>
          <w:p w14:paraId="7E252F4B" w14:textId="007330E9" w:rsidR="000A1D2C" w:rsidRPr="008943CA" w:rsidRDefault="007046DE" w:rsidP="000A1D2C">
            <w:pPr>
              <w:pStyle w:val="TableText0"/>
            </w:pPr>
            <w:r>
              <w:t>Second</w:t>
            </w:r>
          </w:p>
        </w:tc>
        <w:tc>
          <w:tcPr>
            <w:tcW w:w="1843" w:type="dxa"/>
          </w:tcPr>
          <w:p w14:paraId="739447FB" w14:textId="6175D27D" w:rsidR="000A1D2C" w:rsidRPr="008943CA" w:rsidRDefault="007046DE" w:rsidP="000A1D2C">
            <w:pPr>
              <w:pStyle w:val="TableText0"/>
            </w:pPr>
            <w:r>
              <w:t>ACI-C</w:t>
            </w:r>
          </w:p>
        </w:tc>
        <w:tc>
          <w:tcPr>
            <w:tcW w:w="4516" w:type="dxa"/>
          </w:tcPr>
          <w:p w14:paraId="1A9A4C37" w14:textId="77D67010" w:rsidR="000A1D2C" w:rsidRPr="008943CA" w:rsidRDefault="007046DE" w:rsidP="000A1D2C">
            <w:pPr>
              <w:pStyle w:val="TableText0"/>
              <w:rPr>
                <w:iCs/>
              </w:rPr>
            </w:pPr>
            <w:r>
              <w:rPr>
                <w:iCs/>
              </w:rPr>
              <w:t>C</w:t>
            </w:r>
            <w:r w:rsidR="00286F8C">
              <w:rPr>
                <w:iCs/>
              </w:rPr>
              <w:t>ollagen</w:t>
            </w:r>
            <w:r>
              <w:rPr>
                <w:iCs/>
              </w:rPr>
              <w:t xml:space="preserve"> or hyaluron</w:t>
            </w:r>
            <w:r w:rsidR="002F5A23">
              <w:rPr>
                <w:iCs/>
              </w:rPr>
              <w:t>an</w:t>
            </w:r>
            <w:r w:rsidR="00286F8C">
              <w:rPr>
                <w:iCs/>
              </w:rPr>
              <w:t xml:space="preserve"> cap</w:t>
            </w:r>
            <w:r w:rsidR="0080382C">
              <w:rPr>
                <w:iCs/>
              </w:rPr>
              <w:t xml:space="preserve"> secured with sutures or </w:t>
            </w:r>
            <w:r w:rsidR="009656B6">
              <w:rPr>
                <w:iCs/>
              </w:rPr>
              <w:t>fibrin glue</w:t>
            </w:r>
            <w:r w:rsidR="0080382C">
              <w:rPr>
                <w:iCs/>
              </w:rPr>
              <w:t xml:space="preserve"> to cover injected cell suspension</w:t>
            </w:r>
          </w:p>
        </w:tc>
        <w:tc>
          <w:tcPr>
            <w:tcW w:w="1155" w:type="dxa"/>
            <w:vAlign w:val="center"/>
          </w:tcPr>
          <w:p w14:paraId="665AFA9B" w14:textId="56E42888" w:rsidR="000A1D2C" w:rsidRPr="008943CA" w:rsidRDefault="007046DE" w:rsidP="002D0A86">
            <w:pPr>
              <w:pStyle w:val="TableText0"/>
              <w:jc w:val="center"/>
            </w:pPr>
            <w:r>
              <w:rPr>
                <w:rFonts w:ascii="Wingdings" w:eastAsia="Wingdings" w:hAnsi="Wingdings" w:cs="Wingdings"/>
              </w:rPr>
              <w:t>û</w:t>
            </w:r>
          </w:p>
        </w:tc>
        <w:tc>
          <w:tcPr>
            <w:tcW w:w="1213" w:type="dxa"/>
            <w:vAlign w:val="center"/>
          </w:tcPr>
          <w:p w14:paraId="2C6AA057" w14:textId="1D22D5B0" w:rsidR="000A1D2C" w:rsidRPr="008943CA" w:rsidRDefault="007046DE" w:rsidP="002D0A86">
            <w:pPr>
              <w:pStyle w:val="TableText0"/>
              <w:jc w:val="center"/>
            </w:pPr>
            <w:r>
              <w:rPr>
                <w:rFonts w:ascii="Wingdings" w:eastAsia="Wingdings" w:hAnsi="Wingdings" w:cs="Wingdings"/>
              </w:rPr>
              <w:t>ü</w:t>
            </w:r>
          </w:p>
        </w:tc>
      </w:tr>
      <w:tr w:rsidR="00FD7D5C" w14:paraId="5A624977" w14:textId="1DFC05EB" w:rsidTr="008736F4">
        <w:tc>
          <w:tcPr>
            <w:tcW w:w="1129" w:type="dxa"/>
          </w:tcPr>
          <w:p w14:paraId="49BE69C4" w14:textId="4259456F" w:rsidR="000A1D2C" w:rsidRPr="008943CA" w:rsidRDefault="007046DE" w:rsidP="000A1D2C">
            <w:pPr>
              <w:pStyle w:val="TableText0"/>
            </w:pPr>
            <w:r>
              <w:t>Third</w:t>
            </w:r>
          </w:p>
        </w:tc>
        <w:tc>
          <w:tcPr>
            <w:tcW w:w="1843" w:type="dxa"/>
          </w:tcPr>
          <w:p w14:paraId="28EC6FA7" w14:textId="1D043906" w:rsidR="00AB6FB4" w:rsidRPr="00935605" w:rsidRDefault="007046DE" w:rsidP="000A1D2C">
            <w:pPr>
              <w:pStyle w:val="TableText0"/>
            </w:pPr>
            <w:r>
              <w:t>matrix</w:t>
            </w:r>
            <w:r w:rsidR="00686A88">
              <w:t>-</w:t>
            </w:r>
            <w:r w:rsidR="001B2773">
              <w:t>induced</w:t>
            </w:r>
            <w:r w:rsidR="00686A88" w:rsidRPr="00686A88">
              <w:rPr>
                <w:vertAlign w:val="superscript"/>
              </w:rPr>
              <w:t>a</w:t>
            </w:r>
            <w:r w:rsidR="00686A88">
              <w:t xml:space="preserve"> ACI</w:t>
            </w:r>
            <w:r w:rsidR="00935605" w:rsidRPr="00935605">
              <w:rPr>
                <w:vertAlign w:val="superscript"/>
              </w:rPr>
              <w:t>b</w:t>
            </w:r>
          </w:p>
        </w:tc>
        <w:tc>
          <w:tcPr>
            <w:tcW w:w="4516" w:type="dxa"/>
          </w:tcPr>
          <w:p w14:paraId="11841F48" w14:textId="5FD5267C" w:rsidR="000A1D2C" w:rsidRPr="008943CA" w:rsidRDefault="007046DE" w:rsidP="000A1D2C">
            <w:pPr>
              <w:pStyle w:val="TableText0"/>
              <w:rPr>
                <w:iCs/>
              </w:rPr>
            </w:pPr>
            <w:r>
              <w:rPr>
                <w:iCs/>
              </w:rPr>
              <w:t>collagen matrix</w:t>
            </w:r>
            <w:r w:rsidR="007D0D53">
              <w:rPr>
                <w:iCs/>
              </w:rPr>
              <w:t>/ membrane/ scaffold</w:t>
            </w:r>
            <w:r w:rsidR="00AF298B">
              <w:rPr>
                <w:iCs/>
              </w:rPr>
              <w:t xml:space="preserve"> with embedded chondrocytes</w:t>
            </w:r>
            <w:r w:rsidR="00271A0E">
              <w:rPr>
                <w:iCs/>
              </w:rPr>
              <w:t xml:space="preserve"> secured over lesion with</w:t>
            </w:r>
            <w:r w:rsidR="009656B6">
              <w:rPr>
                <w:iCs/>
              </w:rPr>
              <w:t xml:space="preserve"> fibrin</w:t>
            </w:r>
            <w:r w:rsidR="00271A0E">
              <w:rPr>
                <w:iCs/>
              </w:rPr>
              <w:t xml:space="preserve"> glue</w:t>
            </w:r>
          </w:p>
        </w:tc>
        <w:tc>
          <w:tcPr>
            <w:tcW w:w="1155" w:type="dxa"/>
            <w:vAlign w:val="center"/>
          </w:tcPr>
          <w:p w14:paraId="6AB41A36" w14:textId="729C34D2" w:rsidR="000A1D2C" w:rsidRPr="008943CA" w:rsidRDefault="007046DE" w:rsidP="002D0A86">
            <w:pPr>
              <w:pStyle w:val="TableText0"/>
              <w:jc w:val="center"/>
            </w:pPr>
            <w:r>
              <w:rPr>
                <w:rFonts w:ascii="Wingdings" w:eastAsia="Wingdings" w:hAnsi="Wingdings" w:cs="Wingdings"/>
              </w:rPr>
              <w:t>ü</w:t>
            </w:r>
          </w:p>
        </w:tc>
        <w:tc>
          <w:tcPr>
            <w:tcW w:w="1213" w:type="dxa"/>
            <w:vAlign w:val="center"/>
          </w:tcPr>
          <w:p w14:paraId="14B0B6D2" w14:textId="7379A853" w:rsidR="000A1D2C" w:rsidRPr="008943CA" w:rsidRDefault="007046DE" w:rsidP="002D0A86">
            <w:pPr>
              <w:pStyle w:val="TableText0"/>
              <w:jc w:val="center"/>
            </w:pPr>
            <w:r>
              <w:rPr>
                <w:rFonts w:ascii="Wingdings" w:eastAsia="Wingdings" w:hAnsi="Wingdings" w:cs="Wingdings"/>
              </w:rPr>
              <w:t>ü</w:t>
            </w:r>
          </w:p>
        </w:tc>
      </w:tr>
      <w:tr w:rsidR="00FD7D5C" w14:paraId="1FE9D7DD" w14:textId="540D1A08" w:rsidTr="008736F4">
        <w:tc>
          <w:tcPr>
            <w:tcW w:w="1129" w:type="dxa"/>
          </w:tcPr>
          <w:p w14:paraId="2B091D49" w14:textId="508CB22E" w:rsidR="000A1D2C" w:rsidRPr="008943CA" w:rsidRDefault="007046DE" w:rsidP="000A1D2C">
            <w:pPr>
              <w:pStyle w:val="TableText0"/>
            </w:pPr>
            <w:r>
              <w:t>Fourth</w:t>
            </w:r>
          </w:p>
        </w:tc>
        <w:tc>
          <w:tcPr>
            <w:tcW w:w="1843" w:type="dxa"/>
          </w:tcPr>
          <w:p w14:paraId="17B53A09" w14:textId="6FD8CD39" w:rsidR="000A1D2C" w:rsidRPr="008943CA" w:rsidRDefault="007046DE" w:rsidP="000A1D2C">
            <w:pPr>
              <w:pStyle w:val="TableText0"/>
            </w:pPr>
            <w:r>
              <w:t>e.g. spheroids</w:t>
            </w:r>
            <w:r w:rsidR="008A174D">
              <w:t>, pellets</w:t>
            </w:r>
          </w:p>
        </w:tc>
        <w:tc>
          <w:tcPr>
            <w:tcW w:w="4516" w:type="dxa"/>
          </w:tcPr>
          <w:p w14:paraId="1E802DCF" w14:textId="21B56588" w:rsidR="000A1D2C" w:rsidRPr="008943CA" w:rsidRDefault="007046DE" w:rsidP="000A1D2C">
            <w:pPr>
              <w:pStyle w:val="TableText0"/>
              <w:rPr>
                <w:iCs/>
              </w:rPr>
            </w:pPr>
            <w:r>
              <w:rPr>
                <w:iCs/>
              </w:rPr>
              <w:t xml:space="preserve">extracellular </w:t>
            </w:r>
            <w:r w:rsidR="00F659D4">
              <w:rPr>
                <w:iCs/>
              </w:rPr>
              <w:t xml:space="preserve">matrix </w:t>
            </w:r>
            <w:r w:rsidR="0065541B">
              <w:rPr>
                <w:iCs/>
              </w:rPr>
              <w:t>secreted by chondro</w:t>
            </w:r>
            <w:r w:rsidR="00AB0449">
              <w:rPr>
                <w:iCs/>
              </w:rPr>
              <w:t>c</w:t>
            </w:r>
            <w:r w:rsidR="0065541B">
              <w:rPr>
                <w:iCs/>
              </w:rPr>
              <w:t>ytes</w:t>
            </w:r>
            <w:r w:rsidR="00271A0E">
              <w:rPr>
                <w:iCs/>
              </w:rPr>
              <w:t xml:space="preserve"> </w:t>
            </w:r>
            <w:r w:rsidR="00E62088">
              <w:rPr>
                <w:iCs/>
              </w:rPr>
              <w:t>adhere</w:t>
            </w:r>
            <w:r w:rsidR="00271A0E">
              <w:rPr>
                <w:iCs/>
              </w:rPr>
              <w:t>s</w:t>
            </w:r>
            <w:r w:rsidR="00E62088">
              <w:rPr>
                <w:iCs/>
              </w:rPr>
              <w:t xml:space="preserve"> to</w:t>
            </w:r>
            <w:r w:rsidR="00AB0449">
              <w:rPr>
                <w:iCs/>
              </w:rPr>
              <w:t xml:space="preserve"> cartilage within the lesion</w:t>
            </w:r>
            <w:r w:rsidR="0002765F">
              <w:rPr>
                <w:iCs/>
              </w:rPr>
              <w:t xml:space="preserve"> (i.e. scaffold-free)</w:t>
            </w:r>
          </w:p>
        </w:tc>
        <w:tc>
          <w:tcPr>
            <w:tcW w:w="1155" w:type="dxa"/>
            <w:vAlign w:val="center"/>
          </w:tcPr>
          <w:p w14:paraId="478E8F4D" w14:textId="09F3E079" w:rsidR="000A1D2C" w:rsidRPr="008943CA" w:rsidRDefault="007046DE" w:rsidP="002D0A86">
            <w:pPr>
              <w:pStyle w:val="TableText0"/>
              <w:jc w:val="center"/>
            </w:pPr>
            <w:r>
              <w:rPr>
                <w:rFonts w:ascii="Wingdings" w:eastAsia="Wingdings" w:hAnsi="Wingdings" w:cs="Wingdings"/>
              </w:rPr>
              <w:t>û</w:t>
            </w:r>
          </w:p>
        </w:tc>
        <w:tc>
          <w:tcPr>
            <w:tcW w:w="1213" w:type="dxa"/>
            <w:vAlign w:val="center"/>
          </w:tcPr>
          <w:p w14:paraId="366A1D11" w14:textId="238A4895" w:rsidR="000A1D2C" w:rsidRPr="008943CA" w:rsidRDefault="007046DE" w:rsidP="002D0A86">
            <w:pPr>
              <w:pStyle w:val="TableText0"/>
              <w:jc w:val="center"/>
            </w:pPr>
            <w:r>
              <w:rPr>
                <w:rFonts w:ascii="Wingdings" w:eastAsia="Wingdings" w:hAnsi="Wingdings" w:cs="Wingdings"/>
              </w:rPr>
              <w:t>û</w:t>
            </w:r>
          </w:p>
        </w:tc>
      </w:tr>
    </w:tbl>
    <w:p w14:paraId="110758CA" w14:textId="20E0F402" w:rsidR="00B1060A" w:rsidRDefault="007046DE" w:rsidP="00585E67">
      <w:pPr>
        <w:pStyle w:val="Tablenotes"/>
        <w:spacing w:after="0"/>
      </w:pPr>
      <w:r>
        <w:t>A</w:t>
      </w:r>
      <w:r w:rsidR="00A272E7">
        <w:t>CI = autologous chondrocyte implantation</w:t>
      </w:r>
      <w:r w:rsidR="0007037E">
        <w:t>.</w:t>
      </w:r>
    </w:p>
    <w:p w14:paraId="3D44E405" w14:textId="5856B269" w:rsidR="002C09DC" w:rsidRDefault="007046DE" w:rsidP="00585E67">
      <w:pPr>
        <w:pStyle w:val="Tablenotes"/>
        <w:spacing w:after="0"/>
      </w:pPr>
      <w:proofErr w:type="spellStart"/>
      <w:r w:rsidRPr="00B47835">
        <w:t>a</w:t>
      </w:r>
      <w:proofErr w:type="spellEnd"/>
      <w:r>
        <w:t xml:space="preserve"> Alternative terminol</w:t>
      </w:r>
      <w:r w:rsidR="007D60AC">
        <w:t>ogy includes</w:t>
      </w:r>
      <w:r w:rsidR="00935605">
        <w:t xml:space="preserve"> matrix</w:t>
      </w:r>
      <w:r w:rsidR="00CF3CC6">
        <w:t>-</w:t>
      </w:r>
      <w:r w:rsidR="00935605">
        <w:t xml:space="preserve">assisted, </w:t>
      </w:r>
      <w:r w:rsidR="00CF3CC6">
        <w:t>-applied, or -guided.</w:t>
      </w:r>
    </w:p>
    <w:p w14:paraId="5982347D" w14:textId="16EF368C" w:rsidR="00B8177A" w:rsidRDefault="007046DE" w:rsidP="00E052A2">
      <w:pPr>
        <w:pStyle w:val="Tablenotes"/>
        <w:spacing w:after="0"/>
      </w:pPr>
      <w:r w:rsidRPr="00E052A2">
        <w:rPr>
          <w:rFonts w:eastAsiaTheme="minorHAnsi" w:cstheme="minorBidi"/>
          <w:snapToGrid/>
          <w:szCs w:val="18"/>
        </w:rPr>
        <w:t>b</w:t>
      </w:r>
      <w:r w:rsidRPr="00E052A2">
        <w:rPr>
          <w:b/>
          <w:bCs/>
          <w:szCs w:val="18"/>
        </w:rPr>
        <w:t xml:space="preserve"> </w:t>
      </w:r>
      <w:r w:rsidRPr="00B47835">
        <w:rPr>
          <w:szCs w:val="18"/>
        </w:rPr>
        <w:t>MAC</w:t>
      </w:r>
      <w:r w:rsidR="00850FE6" w:rsidRPr="00B47835">
        <w:rPr>
          <w:szCs w:val="18"/>
        </w:rPr>
        <w:t>I</w:t>
      </w:r>
      <w:r w:rsidR="00427238">
        <w:t xml:space="preserve">® </w:t>
      </w:r>
      <w:r w:rsidRPr="00935605">
        <w:t xml:space="preserve">is </w:t>
      </w:r>
      <w:r w:rsidRPr="00A0125C">
        <w:t>now</w:t>
      </w:r>
      <w:r w:rsidRPr="00935605">
        <w:t xml:space="preserve"> a registered trademark</w:t>
      </w:r>
      <w:r>
        <w:t>.</w:t>
      </w:r>
    </w:p>
    <w:p w14:paraId="22A4AFC1" w14:textId="77777777" w:rsidR="00A0125C" w:rsidRDefault="007046DE" w:rsidP="00B6759C">
      <w:pPr>
        <w:pStyle w:val="Tablenotes"/>
        <w:spacing w:after="240"/>
      </w:pPr>
      <w:r>
        <w:t>Source: adapted from Matsushita et al. 2023.</w:t>
      </w:r>
    </w:p>
    <w:p w14:paraId="430179EF" w14:textId="60F037AD" w:rsidR="00234005" w:rsidRDefault="007046DE" w:rsidP="00234005">
      <w:pPr>
        <w:spacing w:after="240"/>
        <w:rPr>
          <w:iCs/>
        </w:rPr>
      </w:pPr>
      <w:r>
        <w:rPr>
          <w:iCs/>
        </w:rPr>
        <w:t xml:space="preserve">The 2010 </w:t>
      </w:r>
      <w:r w:rsidRPr="00456C41">
        <w:rPr>
          <w:iCs/>
        </w:rPr>
        <w:t>assessment report for ACI/</w:t>
      </w:r>
      <w:r w:rsidR="000E7990" w:rsidRPr="00456C41">
        <w:rPr>
          <w:iCs/>
        </w:rPr>
        <w:t>matrix-assisted</w:t>
      </w:r>
      <w:r w:rsidRPr="00456C41">
        <w:rPr>
          <w:iCs/>
        </w:rPr>
        <w:t xml:space="preserve"> </w:t>
      </w:r>
      <w:r w:rsidR="00E255F4" w:rsidRPr="00456C41">
        <w:rPr>
          <w:iCs/>
        </w:rPr>
        <w:t>(</w:t>
      </w:r>
      <w:r w:rsidR="00B20A9C" w:rsidRPr="00456C41">
        <w:rPr>
          <w:iCs/>
        </w:rPr>
        <w:t xml:space="preserve">MSAC </w:t>
      </w:r>
      <w:r w:rsidR="00E255F4" w:rsidRPr="00456C41">
        <w:rPr>
          <w:iCs/>
        </w:rPr>
        <w:t xml:space="preserve">application 1140) </w:t>
      </w:r>
      <w:r w:rsidRPr="00456C41">
        <w:rPr>
          <w:iCs/>
        </w:rPr>
        <w:t xml:space="preserve">assumed all </w:t>
      </w:r>
      <w:r w:rsidR="0096725A" w:rsidRPr="00456C41">
        <w:rPr>
          <w:iCs/>
        </w:rPr>
        <w:t>generations of the technology at that time</w:t>
      </w:r>
      <w:r w:rsidRPr="00456C41">
        <w:rPr>
          <w:iCs/>
        </w:rPr>
        <w:t xml:space="preserve"> to be clinically similar. In the subsequent </w:t>
      </w:r>
      <w:r w:rsidR="003376FE" w:rsidRPr="00456C41">
        <w:rPr>
          <w:iCs/>
        </w:rPr>
        <w:t>DAP</w:t>
      </w:r>
      <w:r w:rsidR="00042B55" w:rsidRPr="00456C41">
        <w:rPr>
          <w:iCs/>
        </w:rPr>
        <w:t xml:space="preserve"> </w:t>
      </w:r>
      <w:r w:rsidR="008A08E9" w:rsidRPr="00456C41">
        <w:rPr>
          <w:iCs/>
        </w:rPr>
        <w:t xml:space="preserve">for MACI </w:t>
      </w:r>
      <w:r w:rsidRPr="00456C41">
        <w:rPr>
          <w:iCs/>
        </w:rPr>
        <w:t>(</w:t>
      </w:r>
      <w:r w:rsidR="00E255F4" w:rsidRPr="00456C41">
        <w:rPr>
          <w:iCs/>
        </w:rPr>
        <w:t xml:space="preserve">application </w:t>
      </w:r>
      <w:r w:rsidRPr="00456C41">
        <w:rPr>
          <w:iCs/>
        </w:rPr>
        <w:t xml:space="preserve">1273; October 2012), PASC determined it would not be appropriate to assume </w:t>
      </w:r>
      <w:r w:rsidR="000E7990" w:rsidRPr="00456C41">
        <w:rPr>
          <w:iCs/>
        </w:rPr>
        <w:t>matrix-assisted</w:t>
      </w:r>
      <w:r w:rsidR="000E7990" w:rsidRPr="00702A22">
        <w:rPr>
          <w:iCs/>
        </w:rPr>
        <w:t xml:space="preserve"> </w:t>
      </w:r>
      <w:r w:rsidRPr="00456C41">
        <w:rPr>
          <w:iCs/>
        </w:rPr>
        <w:t>ACI and</w:t>
      </w:r>
      <w:r w:rsidRPr="00467562">
        <w:rPr>
          <w:iCs/>
        </w:rPr>
        <w:t xml:space="preserve"> ACI are clinically equivalent</w:t>
      </w:r>
      <w:r>
        <w:rPr>
          <w:iCs/>
        </w:rPr>
        <w:t>, and resolved the assessment report (which did not go ahead) should be limited to MACI.</w:t>
      </w:r>
    </w:p>
    <w:p w14:paraId="58A3D007" w14:textId="537B5B83" w:rsidR="00861B5F" w:rsidRDefault="007046DE" w:rsidP="004F7291">
      <w:pPr>
        <w:spacing w:after="240"/>
        <w:rPr>
          <w:iCs/>
        </w:rPr>
      </w:pPr>
      <w:r>
        <w:rPr>
          <w:iCs/>
        </w:rPr>
        <w:t xml:space="preserve">The applicant </w:t>
      </w:r>
      <w:r w:rsidR="00223EB8">
        <w:rPr>
          <w:iCs/>
        </w:rPr>
        <w:t>inten</w:t>
      </w:r>
      <w:r w:rsidR="001A0FA1">
        <w:rPr>
          <w:iCs/>
        </w:rPr>
        <w:t>ds</w:t>
      </w:r>
      <w:r w:rsidR="00223EB8">
        <w:rPr>
          <w:iCs/>
        </w:rPr>
        <w:t xml:space="preserve"> to restrict the application to ACI imp</w:t>
      </w:r>
      <w:r w:rsidR="00970A46">
        <w:rPr>
          <w:iCs/>
        </w:rPr>
        <w:t>l</w:t>
      </w:r>
      <w:r w:rsidR="00223EB8">
        <w:rPr>
          <w:iCs/>
        </w:rPr>
        <w:t>anted with a collagen scaffold/</w:t>
      </w:r>
      <w:r w:rsidR="00DE7B07">
        <w:rPr>
          <w:iCs/>
        </w:rPr>
        <w:t xml:space="preserve"> </w:t>
      </w:r>
      <w:r w:rsidR="00223EB8">
        <w:rPr>
          <w:iCs/>
        </w:rPr>
        <w:t>membrane</w:t>
      </w:r>
      <w:r w:rsidR="009836DB">
        <w:rPr>
          <w:iCs/>
        </w:rPr>
        <w:t xml:space="preserve"> (i.e. matrix-assisted ACI)</w:t>
      </w:r>
      <w:r w:rsidR="00970A46">
        <w:rPr>
          <w:iCs/>
        </w:rPr>
        <w:t xml:space="preserve">, excluding earlier generations of ACI that used </w:t>
      </w:r>
      <w:r w:rsidR="002B73A2">
        <w:rPr>
          <w:iCs/>
        </w:rPr>
        <w:t xml:space="preserve">a </w:t>
      </w:r>
      <w:r w:rsidR="002B73A2" w:rsidRPr="002B73A2">
        <w:rPr>
          <w:iCs/>
        </w:rPr>
        <w:t>periosteal or collagen patch</w:t>
      </w:r>
      <w:r w:rsidR="002B73A2">
        <w:rPr>
          <w:iCs/>
        </w:rPr>
        <w:t xml:space="preserve"> (ACI-P and ACI-C)</w:t>
      </w:r>
      <w:r w:rsidR="002B73A2" w:rsidRPr="002B73A2">
        <w:rPr>
          <w:iCs/>
        </w:rPr>
        <w:t xml:space="preserve">, and </w:t>
      </w:r>
      <w:r w:rsidR="00132E3B">
        <w:rPr>
          <w:iCs/>
        </w:rPr>
        <w:t xml:space="preserve">also excluding </w:t>
      </w:r>
      <w:r w:rsidR="002B73A2" w:rsidRPr="002B73A2">
        <w:rPr>
          <w:iCs/>
        </w:rPr>
        <w:t>later versions of ACI delivery technologies that do</w:t>
      </w:r>
      <w:r w:rsidR="00132E3B">
        <w:rPr>
          <w:iCs/>
        </w:rPr>
        <w:t xml:space="preserve"> </w:t>
      </w:r>
      <w:r w:rsidR="002B73A2" w:rsidRPr="002B73A2">
        <w:rPr>
          <w:iCs/>
        </w:rPr>
        <w:t>n</w:t>
      </w:r>
      <w:r w:rsidR="00132E3B">
        <w:rPr>
          <w:iCs/>
        </w:rPr>
        <w:t>o</w:t>
      </w:r>
      <w:r w:rsidR="002B73A2" w:rsidRPr="002B73A2">
        <w:rPr>
          <w:iCs/>
        </w:rPr>
        <w:t>t use a collagen scaffold/membrane</w:t>
      </w:r>
      <w:r w:rsidR="00132E3B">
        <w:rPr>
          <w:iCs/>
        </w:rPr>
        <w:t>.</w:t>
      </w:r>
      <w:bookmarkStart w:id="5" w:name="_Ref160548265"/>
      <w:r>
        <w:rPr>
          <w:rStyle w:val="FootnoteReference"/>
          <w:iCs/>
        </w:rPr>
        <w:footnoteReference w:id="3"/>
      </w:r>
      <w:bookmarkEnd w:id="5"/>
    </w:p>
    <w:p w14:paraId="30254723" w14:textId="3E728D20" w:rsidR="00244E1C" w:rsidRDefault="007046DE" w:rsidP="004F7291">
      <w:pPr>
        <w:spacing w:after="240"/>
        <w:rPr>
          <w:rFonts w:asciiTheme="minorHAnsi" w:eastAsia="Times New Roman" w:hAnsiTheme="minorHAnsi" w:cstheme="minorHAnsi"/>
        </w:rPr>
      </w:pPr>
      <w:r>
        <w:rPr>
          <w:iCs/>
        </w:rPr>
        <w:lastRenderedPageBreak/>
        <w:t xml:space="preserve">The applicant confirmed that a single OrthoACI chondrocyte expansion service is sufficient to treat </w:t>
      </w:r>
      <w:r w:rsidR="005E5221">
        <w:rPr>
          <w:iCs/>
        </w:rPr>
        <w:t>any size</w:t>
      </w:r>
      <w:r>
        <w:rPr>
          <w:iCs/>
        </w:rPr>
        <w:t xml:space="preserve"> lesions</w:t>
      </w:r>
      <w:r w:rsidR="005E5221">
        <w:rPr>
          <w:iCs/>
        </w:rPr>
        <w:t xml:space="preserve"> </w:t>
      </w:r>
      <w:r w:rsidR="007E61F9">
        <w:rPr>
          <w:iCs/>
        </w:rPr>
        <w:t>(</w:t>
      </w:r>
      <w:proofErr w:type="gramStart"/>
      <w:r w:rsidR="007E61F9">
        <w:rPr>
          <w:iCs/>
        </w:rPr>
        <w:t>i.e.</w:t>
      </w:r>
      <w:proofErr w:type="gramEnd"/>
      <w:r w:rsidR="007E61F9">
        <w:rPr>
          <w:iCs/>
        </w:rPr>
        <w:t xml:space="preserve"> up to 20</w:t>
      </w:r>
      <w:r w:rsidR="00CA4CD8">
        <w:rPr>
          <w:iCs/>
        </w:rPr>
        <w:t xml:space="preserve"> </w:t>
      </w:r>
      <w:r w:rsidR="006275DF" w:rsidRPr="006275DF">
        <w:rPr>
          <w:iCs/>
        </w:rPr>
        <w:t>cm²</w:t>
      </w:r>
      <w:r w:rsidR="006275DF">
        <w:rPr>
          <w:iCs/>
        </w:rPr>
        <w:t>)</w:t>
      </w:r>
      <w:r>
        <w:rPr>
          <w:iCs/>
        </w:rPr>
        <w:t xml:space="preserve"> or multiple lesions being treated in a single surgical episode.</w:t>
      </w:r>
      <w:r w:rsidRPr="00E230BD">
        <w:rPr>
          <w:iCs/>
          <w:vertAlign w:val="superscript"/>
        </w:rPr>
        <w:fldChar w:fldCharType="begin"/>
      </w:r>
      <w:r w:rsidRPr="00E230BD">
        <w:rPr>
          <w:iCs/>
          <w:vertAlign w:val="superscript"/>
        </w:rPr>
        <w:instrText xml:space="preserve"> NOTEREF _Ref160548265 \h </w:instrText>
      </w:r>
      <w:r>
        <w:rPr>
          <w:iCs/>
          <w:vertAlign w:val="superscript"/>
        </w:rPr>
        <w:instrText xml:space="preserve"> \* MERGEFORMAT </w:instrText>
      </w:r>
      <w:r w:rsidRPr="00E230BD">
        <w:rPr>
          <w:iCs/>
          <w:vertAlign w:val="superscript"/>
        </w:rPr>
      </w:r>
      <w:r w:rsidRPr="00E230BD">
        <w:rPr>
          <w:iCs/>
          <w:vertAlign w:val="superscript"/>
        </w:rPr>
        <w:fldChar w:fldCharType="separate"/>
      </w:r>
      <w:r w:rsidR="00E602A3">
        <w:rPr>
          <w:iCs/>
          <w:vertAlign w:val="superscript"/>
        </w:rPr>
        <w:t>2</w:t>
      </w:r>
      <w:r w:rsidRPr="00E230BD">
        <w:rPr>
          <w:iCs/>
          <w:vertAlign w:val="superscript"/>
        </w:rPr>
        <w:fldChar w:fldCharType="end"/>
      </w:r>
    </w:p>
    <w:p w14:paraId="71B0F08E" w14:textId="539C3EF7" w:rsidR="00C14E2F" w:rsidRDefault="007046DE" w:rsidP="00C14E2F">
      <w:pPr>
        <w:pStyle w:val="Heading4"/>
      </w:pPr>
      <w:r>
        <w:t>Regulatory status</w:t>
      </w:r>
      <w:r w:rsidR="0093661C">
        <w:t xml:space="preserve"> </w:t>
      </w:r>
    </w:p>
    <w:p w14:paraId="2584E4E8" w14:textId="7BFC495A" w:rsidR="00CA27E8" w:rsidRDefault="007046DE" w:rsidP="0093661C">
      <w:pPr>
        <w:spacing w:after="240"/>
        <w:rPr>
          <w:iCs/>
        </w:rPr>
      </w:pPr>
      <w:r>
        <w:rPr>
          <w:iCs/>
        </w:rPr>
        <w:t>Ortho</w:t>
      </w:r>
      <w:r w:rsidR="009609ED">
        <w:rPr>
          <w:iCs/>
        </w:rPr>
        <w:t>c</w:t>
      </w:r>
      <w:r w:rsidR="000B3CC9">
        <w:rPr>
          <w:iCs/>
        </w:rPr>
        <w:t>ell</w:t>
      </w:r>
      <w:r>
        <w:rPr>
          <w:iCs/>
        </w:rPr>
        <w:t xml:space="preserve"> </w:t>
      </w:r>
      <w:r w:rsidR="009C5EFF">
        <w:rPr>
          <w:iCs/>
        </w:rPr>
        <w:t xml:space="preserve">produces OrthoACI </w:t>
      </w:r>
      <w:r w:rsidR="007A6627">
        <w:rPr>
          <w:iCs/>
        </w:rPr>
        <w:t xml:space="preserve">and </w:t>
      </w:r>
      <w:r>
        <w:rPr>
          <w:iCs/>
        </w:rPr>
        <w:t xml:space="preserve">is currently the only </w:t>
      </w:r>
      <w:r w:rsidR="00DC1164">
        <w:rPr>
          <w:iCs/>
        </w:rPr>
        <w:t>ACI</w:t>
      </w:r>
      <w:r w:rsidR="003840D3">
        <w:rPr>
          <w:iCs/>
        </w:rPr>
        <w:t xml:space="preserve"> </w:t>
      </w:r>
      <w:r w:rsidR="007B7B02">
        <w:rPr>
          <w:iCs/>
        </w:rPr>
        <w:t xml:space="preserve">provider in Australia. </w:t>
      </w:r>
      <w:r w:rsidR="009421B9">
        <w:rPr>
          <w:iCs/>
        </w:rPr>
        <w:t xml:space="preserve">An excerpt from the ARTG </w:t>
      </w:r>
      <w:r w:rsidR="00C57D43">
        <w:rPr>
          <w:iCs/>
        </w:rPr>
        <w:t xml:space="preserve">entry </w:t>
      </w:r>
      <w:r w:rsidR="009421B9">
        <w:rPr>
          <w:iCs/>
        </w:rPr>
        <w:t>for OrthoACI</w:t>
      </w:r>
      <w:r w:rsidR="0018577C">
        <w:rPr>
          <w:iCs/>
        </w:rPr>
        <w:t xml:space="preserve"> is shown in </w:t>
      </w:r>
      <w:r w:rsidR="00A9756D">
        <w:rPr>
          <w:iCs/>
        </w:rPr>
        <w:fldChar w:fldCharType="begin"/>
      </w:r>
      <w:r w:rsidR="00A9756D">
        <w:rPr>
          <w:iCs/>
        </w:rPr>
        <w:instrText xml:space="preserve"> REF _Ref160543240 \h </w:instrText>
      </w:r>
      <w:r w:rsidR="00A9756D">
        <w:rPr>
          <w:iCs/>
        </w:rPr>
      </w:r>
      <w:r w:rsidR="00A9756D">
        <w:rPr>
          <w:iCs/>
        </w:rPr>
        <w:fldChar w:fldCharType="separate"/>
      </w:r>
      <w:r w:rsidR="00E602A3">
        <w:t xml:space="preserve">Table </w:t>
      </w:r>
      <w:r w:rsidR="00E602A3">
        <w:rPr>
          <w:noProof/>
        </w:rPr>
        <w:t>4</w:t>
      </w:r>
      <w:r w:rsidR="00A9756D">
        <w:rPr>
          <w:iCs/>
        </w:rPr>
        <w:fldChar w:fldCharType="end"/>
      </w:r>
      <w:r w:rsidR="00A9756D">
        <w:rPr>
          <w:iCs/>
        </w:rPr>
        <w:t>.</w:t>
      </w:r>
      <w:r w:rsidR="0093661C">
        <w:rPr>
          <w:iCs/>
        </w:rPr>
        <w:t xml:space="preserve"> </w:t>
      </w:r>
      <w:r w:rsidR="00D74448">
        <w:rPr>
          <w:iCs/>
        </w:rPr>
        <w:t xml:space="preserve">The </w:t>
      </w:r>
      <w:r w:rsidR="00942CC0">
        <w:rPr>
          <w:iCs/>
        </w:rPr>
        <w:t xml:space="preserve">OrthoACI ARTG entry does not </w:t>
      </w:r>
      <w:r w:rsidR="00DE586A">
        <w:rPr>
          <w:iCs/>
        </w:rPr>
        <w:t xml:space="preserve">specify the use of </w:t>
      </w:r>
      <w:r w:rsidR="00774DA9">
        <w:rPr>
          <w:iCs/>
        </w:rPr>
        <w:t xml:space="preserve">any associated materials, but the application </w:t>
      </w:r>
      <w:r w:rsidR="008E1AB4">
        <w:rPr>
          <w:iCs/>
        </w:rPr>
        <w:t>states</w:t>
      </w:r>
      <w:r w:rsidR="00774DA9">
        <w:rPr>
          <w:iCs/>
        </w:rPr>
        <w:t xml:space="preserve"> the </w:t>
      </w:r>
      <w:r w:rsidR="00FC6F94">
        <w:rPr>
          <w:iCs/>
        </w:rPr>
        <w:t>product is to be used with</w:t>
      </w:r>
      <w:r w:rsidR="00774DA9">
        <w:rPr>
          <w:iCs/>
        </w:rPr>
        <w:t xml:space="preserve"> </w:t>
      </w:r>
      <w:r w:rsidR="002869CC">
        <w:rPr>
          <w:iCs/>
        </w:rPr>
        <w:t xml:space="preserve">any resorbable </w:t>
      </w:r>
      <w:r w:rsidR="00806D69">
        <w:rPr>
          <w:iCs/>
        </w:rPr>
        <w:t>collagen matrix</w:t>
      </w:r>
      <w:r w:rsidR="002869CC">
        <w:rPr>
          <w:iCs/>
        </w:rPr>
        <w:t xml:space="preserve"> </w:t>
      </w:r>
      <w:r w:rsidR="00806D69">
        <w:rPr>
          <w:iCs/>
        </w:rPr>
        <w:t>and fibrin glue</w:t>
      </w:r>
      <w:r w:rsidR="00343157">
        <w:rPr>
          <w:iCs/>
        </w:rPr>
        <w:t xml:space="preserve">. </w:t>
      </w:r>
      <w:r w:rsidR="00DE32AA">
        <w:rPr>
          <w:iCs/>
        </w:rPr>
        <w:t>The</w:t>
      </w:r>
      <w:r w:rsidR="00806D69">
        <w:rPr>
          <w:iCs/>
        </w:rPr>
        <w:t xml:space="preserve"> ARTG</w:t>
      </w:r>
      <w:r w:rsidR="00DE32AA">
        <w:rPr>
          <w:iCs/>
        </w:rPr>
        <w:t xml:space="preserve"> includes entries for such materials</w:t>
      </w:r>
      <w:r w:rsidR="00806D69">
        <w:rPr>
          <w:iCs/>
        </w:rPr>
        <w:t xml:space="preserve"> (see ‘Costs of OrthoACI and associated materials’ section for further details).</w:t>
      </w:r>
    </w:p>
    <w:p w14:paraId="74896BCA" w14:textId="5FEF5E1A" w:rsidR="0093661C" w:rsidRPr="00A9756D" w:rsidRDefault="007046DE" w:rsidP="0093661C">
      <w:pPr>
        <w:spacing w:after="240"/>
        <w:rPr>
          <w:iCs/>
        </w:rPr>
      </w:pPr>
      <w:r>
        <w:rPr>
          <w:iCs/>
        </w:rPr>
        <w:t xml:space="preserve">The </w:t>
      </w:r>
      <w:r w:rsidR="00CA27E8">
        <w:rPr>
          <w:iCs/>
        </w:rPr>
        <w:t xml:space="preserve">OrthoACI ARTG </w:t>
      </w:r>
      <w:r w:rsidR="001E6164">
        <w:rPr>
          <w:iCs/>
        </w:rPr>
        <w:t xml:space="preserve">entry </w:t>
      </w:r>
      <w:r>
        <w:rPr>
          <w:iCs/>
        </w:rPr>
        <w:t>states OrthoACI should be used ‘in conjunction with rehabilitation’, and that</w:t>
      </w:r>
      <w:r w:rsidRPr="002C054C">
        <w:rPr>
          <w:iCs/>
        </w:rPr>
        <w:t xml:space="preserve"> </w:t>
      </w:r>
      <w:r>
        <w:rPr>
          <w:iCs/>
        </w:rPr>
        <w:t>the information-for-use (IFU) document includes rehabilitation guides. The</w:t>
      </w:r>
      <w:r w:rsidRPr="004F7291">
        <w:rPr>
          <w:iCs/>
        </w:rPr>
        <w:t xml:space="preserve"> recovery protocol involves a</w:t>
      </w:r>
      <w:r>
        <w:rPr>
          <w:iCs/>
        </w:rPr>
        <w:t>n extended</w:t>
      </w:r>
      <w:r w:rsidRPr="004F7291">
        <w:rPr>
          <w:iCs/>
        </w:rPr>
        <w:t xml:space="preserve"> period of restricted activities</w:t>
      </w:r>
      <w:r>
        <w:rPr>
          <w:iCs/>
        </w:rPr>
        <w:t xml:space="preserve">, </w:t>
      </w:r>
      <w:r w:rsidRPr="004F7291">
        <w:rPr>
          <w:iCs/>
        </w:rPr>
        <w:t xml:space="preserve">including no full weight bearing for </w:t>
      </w:r>
      <w:r>
        <w:rPr>
          <w:iCs/>
        </w:rPr>
        <w:t>a number of</w:t>
      </w:r>
      <w:r w:rsidRPr="004F7291">
        <w:rPr>
          <w:iCs/>
        </w:rPr>
        <w:t xml:space="preserve"> weeks</w:t>
      </w:r>
      <w:r>
        <w:rPr>
          <w:iCs/>
        </w:rPr>
        <w:t xml:space="preserve">. Candidates for the procedure must be prepared to undergo extended periods of rehabilitation. The applicant has noted the recovery protocol for </w:t>
      </w:r>
      <w:r w:rsidR="00F52F66">
        <w:rPr>
          <w:iCs/>
        </w:rPr>
        <w:t xml:space="preserve">matrix-assisted </w:t>
      </w:r>
      <w:r>
        <w:rPr>
          <w:iCs/>
        </w:rPr>
        <w:t xml:space="preserve">ACI is similar to that for </w:t>
      </w:r>
      <w:r w:rsidR="00535C1D">
        <w:rPr>
          <w:iCs/>
        </w:rPr>
        <w:t>the comparator (</w:t>
      </w:r>
      <w:r>
        <w:rPr>
          <w:iCs/>
        </w:rPr>
        <w:t>microfracture</w:t>
      </w:r>
      <w:r w:rsidR="00535C1D">
        <w:rPr>
          <w:iCs/>
        </w:rPr>
        <w:t>)</w:t>
      </w:r>
      <w:r>
        <w:rPr>
          <w:iCs/>
        </w:rPr>
        <w:t>, but is surgeon specific, and more variation in protocol would be observed across clinical practice than between surgical approaches.</w:t>
      </w:r>
    </w:p>
    <w:p w14:paraId="13A830AF" w14:textId="544820DB" w:rsidR="0052679D" w:rsidRDefault="007046DE" w:rsidP="0052679D">
      <w:pPr>
        <w:pStyle w:val="Caption"/>
      </w:pPr>
      <w:bookmarkStart w:id="6" w:name="_Ref160543240"/>
      <w:r>
        <w:lastRenderedPageBreak/>
        <w:t xml:space="preserve">Table </w:t>
      </w:r>
      <w:r>
        <w:fldChar w:fldCharType="begin"/>
      </w:r>
      <w:r>
        <w:instrText xml:space="preserve"> SEQ Table \* ARABIC </w:instrText>
      </w:r>
      <w:r>
        <w:fldChar w:fldCharType="separate"/>
      </w:r>
      <w:r w:rsidR="00E602A3">
        <w:rPr>
          <w:noProof/>
        </w:rPr>
        <w:t>4</w:t>
      </w:r>
      <w:r>
        <w:fldChar w:fldCharType="end"/>
      </w:r>
      <w:bookmarkEnd w:id="6"/>
      <w:r>
        <w:tab/>
        <w:t>Excerpt from the Public Summary for the OrthoACI ARTG Entry</w:t>
      </w:r>
    </w:p>
    <w:tbl>
      <w:tblPr>
        <w:tblStyle w:val="TableGrid"/>
        <w:tblW w:w="0" w:type="auto"/>
        <w:tblLook w:val="04A0" w:firstRow="1" w:lastRow="0" w:firstColumn="1" w:lastColumn="0" w:noHBand="0" w:noVBand="1"/>
        <w:tblCaption w:val="Table 4 Excerpt from the Public Summary for the OrthoACI ARTG Entry"/>
        <w:tblDescription w:val="An excerpt from the Public Summary for the OrthoACI ARTG Entry number 289402"/>
      </w:tblPr>
      <w:tblGrid>
        <w:gridCol w:w="9571"/>
      </w:tblGrid>
      <w:tr w:rsidR="00FD7D5C" w14:paraId="755D79B8" w14:textId="77777777" w:rsidTr="00BD6E6C">
        <w:tc>
          <w:tcPr>
            <w:tcW w:w="9571" w:type="dxa"/>
          </w:tcPr>
          <w:p w14:paraId="366060B9" w14:textId="77777777" w:rsidR="0052679D" w:rsidRDefault="007046DE" w:rsidP="00BD6E6C">
            <w:pPr>
              <w:pStyle w:val="TableText0"/>
              <w:keepNext/>
            </w:pPr>
            <w:r w:rsidRPr="00BB37FD">
              <w:rPr>
                <w:b/>
                <w:bCs/>
              </w:rPr>
              <w:t>Summary for ARTG Entry</w:t>
            </w:r>
            <w:r w:rsidRPr="00203FA5">
              <w:t>: 289402</w:t>
            </w:r>
          </w:p>
          <w:p w14:paraId="2A6B670F" w14:textId="77777777" w:rsidR="0052679D" w:rsidRPr="00DA1515" w:rsidRDefault="007046DE" w:rsidP="00BD6E6C">
            <w:pPr>
              <w:pStyle w:val="TableText0"/>
            </w:pPr>
            <w:r w:rsidRPr="00203FA5">
              <w:t>Cellular Therapies - Chondrocytes - T - Ortho-ACI - Orthocell Ltd - Suspension - Vial</w:t>
            </w:r>
          </w:p>
        </w:tc>
      </w:tr>
      <w:tr w:rsidR="00FD7D5C" w14:paraId="77D6DFF9" w14:textId="77777777" w:rsidTr="00BD6E6C">
        <w:tc>
          <w:tcPr>
            <w:tcW w:w="9571" w:type="dxa"/>
          </w:tcPr>
          <w:p w14:paraId="1E138ECB" w14:textId="306F450A" w:rsidR="0052679D" w:rsidRDefault="007046DE" w:rsidP="00BD6E6C">
            <w:pPr>
              <w:pStyle w:val="TableText0"/>
              <w:keepNext/>
            </w:pPr>
            <w:r w:rsidRPr="00BB37FD">
              <w:rPr>
                <w:b/>
                <w:bCs/>
              </w:rPr>
              <w:t>Products</w:t>
            </w:r>
            <w:r>
              <w:t xml:space="preserve">: </w:t>
            </w:r>
            <w:r w:rsidRPr="00DA1515">
              <w:t>Chondrocytes - T - Ortho-ACI</w:t>
            </w:r>
          </w:p>
          <w:p w14:paraId="6F59BA77" w14:textId="47BB1BF1" w:rsidR="0052679D" w:rsidRDefault="007046DE" w:rsidP="00BD6E6C">
            <w:pPr>
              <w:pStyle w:val="TableText0"/>
              <w:keepNext/>
            </w:pPr>
            <w:r w:rsidRPr="003B5DBE">
              <w:rPr>
                <w:b/>
                <w:bCs/>
              </w:rPr>
              <w:t>Product Type</w:t>
            </w:r>
            <w:r w:rsidR="00085A7D">
              <w:rPr>
                <w:b/>
                <w:bCs/>
              </w:rPr>
              <w:t>:</w:t>
            </w:r>
            <w:r w:rsidRPr="00DA1515">
              <w:t xml:space="preserve"> Cellular Therapies</w:t>
            </w:r>
          </w:p>
          <w:p w14:paraId="60535453" w14:textId="07FC26D3" w:rsidR="0052679D" w:rsidRPr="00DA1515" w:rsidRDefault="007046DE" w:rsidP="00BD6E6C">
            <w:pPr>
              <w:pStyle w:val="TableText0"/>
            </w:pPr>
            <w:r w:rsidRPr="003B5DBE">
              <w:rPr>
                <w:b/>
                <w:bCs/>
              </w:rPr>
              <w:t>Effective Date</w:t>
            </w:r>
            <w:r w:rsidR="00085A7D">
              <w:rPr>
                <w:b/>
                <w:bCs/>
              </w:rPr>
              <w:t>:</w:t>
            </w:r>
            <w:r w:rsidRPr="00DA1515">
              <w:t xml:space="preserve"> 23/09/2022</w:t>
            </w:r>
          </w:p>
        </w:tc>
      </w:tr>
      <w:tr w:rsidR="00FD7D5C" w14:paraId="79A00C31" w14:textId="77777777" w:rsidTr="00BD6E6C">
        <w:tc>
          <w:tcPr>
            <w:tcW w:w="9571" w:type="dxa"/>
          </w:tcPr>
          <w:p w14:paraId="52F0AD13" w14:textId="0918548A" w:rsidR="00801F01" w:rsidRPr="00AF6324" w:rsidRDefault="007046DE" w:rsidP="00BD6E6C">
            <w:pPr>
              <w:pStyle w:val="TableText0"/>
              <w:keepNext/>
            </w:pPr>
            <w:r>
              <w:rPr>
                <w:b/>
                <w:bCs/>
              </w:rPr>
              <w:t xml:space="preserve">Dosage form: </w:t>
            </w:r>
            <w:r w:rsidR="007A4793" w:rsidRPr="00AF6324">
              <w:t>Suspension</w:t>
            </w:r>
          </w:p>
          <w:p w14:paraId="4D70A332" w14:textId="5CC3B70A" w:rsidR="00010F00" w:rsidRPr="00AF6324" w:rsidRDefault="007046DE" w:rsidP="00BD6E6C">
            <w:pPr>
              <w:pStyle w:val="TableText0"/>
              <w:keepNext/>
            </w:pPr>
            <w:r>
              <w:rPr>
                <w:b/>
                <w:bCs/>
              </w:rPr>
              <w:t>Route of administration:</w:t>
            </w:r>
            <w:r w:rsidR="007A4793">
              <w:rPr>
                <w:b/>
                <w:bCs/>
              </w:rPr>
              <w:t xml:space="preserve"> </w:t>
            </w:r>
            <w:r w:rsidR="007A4793" w:rsidRPr="00AF6324">
              <w:t>Implant</w:t>
            </w:r>
          </w:p>
          <w:p w14:paraId="639F8437" w14:textId="60F8CEBA" w:rsidR="00010F00" w:rsidRPr="00BB37FD" w:rsidRDefault="007046DE" w:rsidP="00BD6E6C">
            <w:pPr>
              <w:pStyle w:val="TableText0"/>
              <w:keepNext/>
              <w:rPr>
                <w:b/>
                <w:bCs/>
              </w:rPr>
            </w:pPr>
            <w:r>
              <w:rPr>
                <w:b/>
                <w:bCs/>
              </w:rPr>
              <w:t>Active ingredients:</w:t>
            </w:r>
            <w:r w:rsidR="007A4793">
              <w:rPr>
                <w:b/>
                <w:bCs/>
              </w:rPr>
              <w:t xml:space="preserve"> </w:t>
            </w:r>
            <w:r w:rsidR="007A4793" w:rsidRPr="00AF6324">
              <w:t xml:space="preserve">Chondrocyte 2 </w:t>
            </w:r>
            <w:r w:rsidR="00616C11" w:rsidRPr="00AF6324">
              <w:t>million</w:t>
            </w:r>
            <w:r w:rsidR="007A4793" w:rsidRPr="00AF6324">
              <w:t xml:space="preserve"> cells/mL</w:t>
            </w:r>
          </w:p>
        </w:tc>
      </w:tr>
      <w:tr w:rsidR="00FD7D5C" w14:paraId="368270D3" w14:textId="77777777" w:rsidTr="00BD6E6C">
        <w:tc>
          <w:tcPr>
            <w:tcW w:w="9571" w:type="dxa"/>
          </w:tcPr>
          <w:p w14:paraId="095B3BE9" w14:textId="77777777" w:rsidR="0052679D" w:rsidRPr="00BB37FD" w:rsidRDefault="007046DE" w:rsidP="00BD6E6C">
            <w:pPr>
              <w:pStyle w:val="TableText0"/>
              <w:keepNext/>
              <w:rPr>
                <w:b/>
                <w:bCs/>
              </w:rPr>
            </w:pPr>
            <w:r w:rsidRPr="00BB37FD">
              <w:rPr>
                <w:b/>
                <w:bCs/>
              </w:rPr>
              <w:t>Therapeutic Indication</w:t>
            </w:r>
          </w:p>
          <w:p w14:paraId="0C161537" w14:textId="77777777" w:rsidR="0052679D" w:rsidRDefault="007046DE" w:rsidP="00BD6E6C">
            <w:pPr>
              <w:pStyle w:val="TableText0"/>
            </w:pPr>
            <w:r w:rsidRPr="00DA1515">
              <w:t>Ortho-ACI is indicated for use in treatment of cartilage lesions associated with the knee, patella and ankle in patients who meet the following criteria:</w:t>
            </w:r>
          </w:p>
          <w:p w14:paraId="4638A1F7" w14:textId="77777777" w:rsidR="0052679D" w:rsidRDefault="007046DE" w:rsidP="00BD6E6C">
            <w:pPr>
              <w:pStyle w:val="TableText0"/>
              <w:ind w:left="113"/>
            </w:pPr>
            <w:r w:rsidRPr="00DA1515">
              <w:t>- Patients with cartilage damage caused by trauma, wear or degradation including cartilage lesions associated with chondromalacia patella or osteochondritis dissecans; and</w:t>
            </w:r>
          </w:p>
          <w:p w14:paraId="05AA6969" w14:textId="77777777" w:rsidR="0052679D" w:rsidRDefault="007046DE" w:rsidP="00BD6E6C">
            <w:pPr>
              <w:pStyle w:val="TableText0"/>
              <w:ind w:left="113"/>
            </w:pPr>
            <w:r w:rsidRPr="00DA1515">
              <w:t>- Patients with symptomatic articular cartilage defects, with an international cartilage repair society (ICRS) grade III or IV; and</w:t>
            </w:r>
          </w:p>
          <w:p w14:paraId="759A8B1A" w14:textId="77777777" w:rsidR="0052679D" w:rsidRDefault="007046DE" w:rsidP="00BD6E6C">
            <w:pPr>
              <w:pStyle w:val="TableText0"/>
              <w:ind w:left="113"/>
            </w:pPr>
            <w:r w:rsidRPr="00DA1515">
              <w:t>- Patients in the age range of 18-55 years.</w:t>
            </w:r>
          </w:p>
          <w:p w14:paraId="44D759DC" w14:textId="77777777" w:rsidR="0052679D" w:rsidRDefault="007046DE" w:rsidP="00BD6E6C">
            <w:pPr>
              <w:pStyle w:val="TableText0"/>
              <w:spacing w:before="120"/>
              <w:ind w:left="113"/>
            </w:pPr>
            <w:r w:rsidRPr="00DA1515">
              <w:t>Precautions must be taken to mitigate the risks associated with acute traumatic lesions (subchondral oedema, effusion, haematoma, and haemarthrosis); and</w:t>
            </w:r>
          </w:p>
          <w:p w14:paraId="149F18AD" w14:textId="77777777" w:rsidR="0052679D" w:rsidRPr="00DA1515" w:rsidRDefault="007046DE" w:rsidP="00BD6E6C">
            <w:pPr>
              <w:pStyle w:val="TableText0"/>
              <w:spacing w:before="120"/>
              <w:ind w:left="113"/>
            </w:pPr>
            <w:r w:rsidRPr="00DA1515">
              <w:t xml:space="preserve">Ortho-ACI should be used in conjunction with rehabilitation - guides are available </w:t>
            </w:r>
            <w:r>
              <w:br/>
            </w:r>
            <w:r w:rsidRPr="00DA1515">
              <w:t>(Ankle, 10-IFU-16, or Knee/Patella, 10-IFU-17).</w:t>
            </w:r>
          </w:p>
        </w:tc>
      </w:tr>
      <w:tr w:rsidR="00FD7D5C" w14:paraId="229D3F87" w14:textId="77777777" w:rsidTr="00BD6E6C">
        <w:tc>
          <w:tcPr>
            <w:tcW w:w="9571" w:type="dxa"/>
          </w:tcPr>
          <w:p w14:paraId="452F2F89" w14:textId="77777777" w:rsidR="0052679D" w:rsidRPr="00F75BCA" w:rsidRDefault="007046DE" w:rsidP="00BD6E6C">
            <w:pPr>
              <w:pStyle w:val="TableText0"/>
              <w:keepNext/>
              <w:rPr>
                <w:b/>
                <w:bCs/>
              </w:rPr>
            </w:pPr>
            <w:r w:rsidRPr="00F75BCA">
              <w:rPr>
                <w:b/>
                <w:bCs/>
              </w:rPr>
              <w:t>Specific Conditions</w:t>
            </w:r>
          </w:p>
          <w:p w14:paraId="3E3F6F4A" w14:textId="5BDFB868" w:rsidR="0052679D" w:rsidRPr="00DA1515" w:rsidRDefault="007046DE" w:rsidP="00BD6E6C">
            <w:pPr>
              <w:pStyle w:val="TableText0"/>
            </w:pPr>
            <w:r w:rsidRPr="00DA1515">
              <w:t>The Ortho ACI Risk Management Plan (RMP), Issue No. 3 (TR-042) (19 January 2017, Data Lock Point 18 August 2016), included with submission BA-2012-00010, and any subsequent revisions, as agreed with the TGA must be implemented in Australia. An obligatory component of the Risk Management Plan applicable to this therapeutic good is Routine Biovigilance. Routine Biovigilance includes the submission of Periodic Safety Update Reports (PSURs). The reports must meet the requirements for Periodic Safety Update Reports as described in the European Medicines Agency's Guideline on Good Pharmacovigilance Practices (GVP) Module VII-Periodic Safety Update Report. Each report must have been prepared within seventy calendar days of the data lock point for that report, as required by the European Medicines Agency's Guideline for PSUR's covering intervals up to 12 months (including intervals of exactly 12 months). Unless agreed separately between the supplier who is the recipient of the approval and the TGA, the first report must be submitted to TGA no later than 15 calendar months after the date of this letter. The subsequent reports must be submitted no less frequently than annually from the date of the first submitted report until the period covered by such reports is not less than three years from the date of this approval letter. No fewer than three annual reports are required. The annual submission may be made up of two Periodic Safety Update Reports each covering six months. If the sponsor wishes, the six monthly reports may be submitted separately as they become available.</w:t>
            </w:r>
          </w:p>
        </w:tc>
      </w:tr>
    </w:tbl>
    <w:p w14:paraId="0D83521B" w14:textId="26C7D6E8" w:rsidR="002B3030" w:rsidRPr="00E052A2" w:rsidRDefault="007046DE" w:rsidP="00484E2A">
      <w:pPr>
        <w:pStyle w:val="Tablenotes"/>
        <w:spacing w:after="240"/>
        <w:rPr>
          <w:rFonts w:eastAsia="Calibri"/>
        </w:rPr>
      </w:pPr>
      <w:r>
        <w:t xml:space="preserve">Source: </w:t>
      </w:r>
      <w:r w:rsidR="003E67E4" w:rsidRPr="003E67E4">
        <w:t>Australian Register of Therapeutic Goods (ARTG)</w:t>
      </w:r>
      <w:r w:rsidR="00123996">
        <w:t>, available at</w:t>
      </w:r>
      <w:r w:rsidR="00123996" w:rsidRPr="00C834D5">
        <w:rPr>
          <w:color w:val="000000" w:themeColor="text1"/>
        </w:rPr>
        <w:t xml:space="preserve"> </w:t>
      </w:r>
      <w:hyperlink r:id="rId16" w:tooltip="Link to ARTG web page for OrthoACI entry" w:history="1">
        <w:r w:rsidR="00123996" w:rsidRPr="00C834D5">
          <w:rPr>
            <w:rStyle w:val="Hyperlink"/>
            <w:rFonts w:ascii="Arial Narrow" w:hAnsi="Arial Narrow" w:cs="Arial"/>
            <w:color w:val="000000" w:themeColor="text1"/>
          </w:rPr>
          <w:t>https://www.tga.gov.au/resources/artg/289402</w:t>
        </w:r>
      </w:hyperlink>
    </w:p>
    <w:p w14:paraId="0D8C2BAC" w14:textId="77777777" w:rsidR="001567DF" w:rsidRPr="00C834D5" w:rsidRDefault="007046DE" w:rsidP="001567DF">
      <w:pPr>
        <w:autoSpaceDE w:val="0"/>
        <w:autoSpaceDN w:val="0"/>
        <w:adjustRightInd w:val="0"/>
        <w:spacing w:line="23" w:lineRule="atLeast"/>
        <w:rPr>
          <w:rFonts w:cs="Calibri"/>
          <w:i/>
          <w:iCs/>
        </w:rPr>
      </w:pPr>
      <w:r w:rsidRPr="00C834D5">
        <w:rPr>
          <w:rFonts w:cs="Calibri"/>
          <w:i/>
          <w:iCs/>
        </w:rPr>
        <w:t>PASC discussed the development of the intervention and confirmed that the application is restricted to matrix-assisted ACI (third generation ACI technology). PASC noted that the intervention must be used with rehabilitation.</w:t>
      </w:r>
    </w:p>
    <w:p w14:paraId="1F94E84D" w14:textId="45A6F5FE" w:rsidR="004065C6" w:rsidRPr="00D4033C" w:rsidRDefault="007046DE" w:rsidP="00D4033C">
      <w:pPr>
        <w:rPr>
          <w:rFonts w:ascii="Arial Narrow" w:hAnsi="Arial Narrow" w:cs="Arial"/>
          <w:i/>
          <w:iCs/>
          <w:color w:val="0000FF"/>
          <w:u w:val="single"/>
        </w:rPr>
      </w:pPr>
      <w:r w:rsidRPr="00E052A2">
        <w:rPr>
          <w:rFonts w:asciiTheme="minorHAnsi" w:hAnsiTheme="minorHAnsi" w:cstheme="minorHAnsi"/>
          <w:i/>
          <w:iCs/>
        </w:rPr>
        <w:t>PASC noted the applicant’s pre-PASC response confirmed that while OrthoACI is currently delivered in Australia using a porcine collagen matrix, it is not necessary to limit the collagen matrix used with ACI to a porcine source.</w:t>
      </w:r>
    </w:p>
    <w:p w14:paraId="665B0675" w14:textId="26C1CB57" w:rsidR="007A66C8" w:rsidRDefault="007046DE" w:rsidP="00713728">
      <w:pPr>
        <w:pStyle w:val="Heading3"/>
      </w:pPr>
      <w:r w:rsidRPr="008F1532">
        <w:t>Comparator</w:t>
      </w:r>
      <w:r w:rsidR="007D6B83">
        <w:t>(</w:t>
      </w:r>
      <w:r w:rsidR="008F1532">
        <w:t>s</w:t>
      </w:r>
      <w:r w:rsidR="007D6B83">
        <w:t>)</w:t>
      </w:r>
    </w:p>
    <w:p w14:paraId="0A4B7168" w14:textId="053AB064" w:rsidR="00194F4C" w:rsidRDefault="007046DE" w:rsidP="00154A13">
      <w:pPr>
        <w:pStyle w:val="Heading4"/>
      </w:pPr>
      <w:r>
        <w:t>Rationale for comparator proposed in application</w:t>
      </w:r>
    </w:p>
    <w:p w14:paraId="5590055E" w14:textId="5C941B78" w:rsidR="00EF37E9" w:rsidRDefault="007046DE" w:rsidP="00F4478A">
      <w:r>
        <w:t xml:space="preserve">The application proposed microfracture as the sole comparator, on the basis it is the comparator in the majority of ACI trials (including the SUMMIT RCT). The applicant stated that microfracture is the most commonly used surgical approach in Australia to </w:t>
      </w:r>
      <w:r w:rsidR="00C02FDB">
        <w:t>repair</w:t>
      </w:r>
      <w:r>
        <w:t xml:space="preserve"> focal chondral or osteochondral defects of the </w:t>
      </w:r>
      <w:r>
        <w:lastRenderedPageBreak/>
        <w:t>knee</w:t>
      </w:r>
      <w:r w:rsidR="005C0452">
        <w:t>.</w:t>
      </w:r>
      <w:r>
        <w:rPr>
          <w:rStyle w:val="FootnoteReference"/>
        </w:rPr>
        <w:footnoteReference w:id="4"/>
      </w:r>
      <w:r w:rsidR="005C0452">
        <w:t xml:space="preserve"> N</w:t>
      </w:r>
      <w:r w:rsidR="006F53DA">
        <w:t xml:space="preserve">o </w:t>
      </w:r>
      <w:r w:rsidR="00062A99">
        <w:t>evidence was provided to support this assertion</w:t>
      </w:r>
      <w:r w:rsidR="005C0452">
        <w:t>,</w:t>
      </w:r>
      <w:r w:rsidR="00C949DF">
        <w:t xml:space="preserve"> </w:t>
      </w:r>
      <w:r w:rsidR="005C0452">
        <w:t>however</w:t>
      </w:r>
      <w:r>
        <w:t xml:space="preserve"> </w:t>
      </w:r>
      <w:r w:rsidR="0070031C">
        <w:t xml:space="preserve">MBS claims data </w:t>
      </w:r>
      <w:r w:rsidR="00C949DF">
        <w:t>indicate</w:t>
      </w:r>
      <w:r w:rsidR="0070031C">
        <w:t xml:space="preserve"> microfracture and drilling are more frequently claimed than </w:t>
      </w:r>
      <w:r w:rsidR="00C949DF">
        <w:t>MB</w:t>
      </w:r>
      <w:r w:rsidR="00C65795">
        <w:t>S items likely to be used for other knee cartilage repair surgeries</w:t>
      </w:r>
      <w:r w:rsidR="000861DC">
        <w:t xml:space="preserve"> (</w:t>
      </w:r>
      <w:r w:rsidR="000861DC">
        <w:fldChar w:fldCharType="begin"/>
      </w:r>
      <w:r w:rsidR="000861DC">
        <w:instrText xml:space="preserve"> REF _Ref160721525 \h </w:instrText>
      </w:r>
      <w:r w:rsidR="000861DC">
        <w:fldChar w:fldCharType="separate"/>
      </w:r>
      <w:r w:rsidR="00E602A3">
        <w:t xml:space="preserve">Table </w:t>
      </w:r>
      <w:r w:rsidR="00E602A3">
        <w:rPr>
          <w:noProof/>
        </w:rPr>
        <w:t>6</w:t>
      </w:r>
      <w:r w:rsidR="000861DC">
        <w:fldChar w:fldCharType="end"/>
      </w:r>
      <w:r w:rsidR="00180272">
        <w:t xml:space="preserve"> in section ‘Utilisation of MBS items for other interventions’)</w:t>
      </w:r>
      <w:r w:rsidR="00C65795">
        <w:t xml:space="preserve">. </w:t>
      </w:r>
    </w:p>
    <w:p w14:paraId="36D2BF25" w14:textId="361993C8" w:rsidR="00527EFF" w:rsidRDefault="007046DE" w:rsidP="00154A13">
      <w:pPr>
        <w:keepNext/>
      </w:pPr>
      <w:r>
        <w:t xml:space="preserve">Issues regarding the </w:t>
      </w:r>
      <w:r w:rsidR="00DF01D5">
        <w:t xml:space="preserve">proposed </w:t>
      </w:r>
      <w:r>
        <w:t>comparator include</w:t>
      </w:r>
      <w:r w:rsidR="00DF01D5">
        <w:t xml:space="preserve"> </w:t>
      </w:r>
      <w:r w:rsidR="00410DCD">
        <w:t>(and are discussed in detail in following sections)</w:t>
      </w:r>
      <w:r>
        <w:t>:</w:t>
      </w:r>
    </w:p>
    <w:p w14:paraId="1EE49CA8" w14:textId="7C675CE9" w:rsidR="00AC4B8C" w:rsidRDefault="007046DE" w:rsidP="00690B49">
      <w:pPr>
        <w:pStyle w:val="ListParagraph"/>
        <w:numPr>
          <w:ilvl w:val="0"/>
          <w:numId w:val="27"/>
        </w:numPr>
      </w:pPr>
      <w:r>
        <w:t xml:space="preserve">The proposed population is </w:t>
      </w:r>
      <w:r w:rsidR="00A5104B">
        <w:t xml:space="preserve">patients with </w:t>
      </w:r>
      <w:r>
        <w:t>lesions size</w:t>
      </w:r>
      <w:r w:rsidR="008524C0">
        <w:t>d</w:t>
      </w:r>
      <w:r>
        <w:t xml:space="preserve"> </w:t>
      </w:r>
      <w:r w:rsidRPr="00690B49">
        <w:rPr>
          <w:rFonts w:cs="Calibri"/>
        </w:rPr>
        <w:t>≥</w:t>
      </w:r>
      <w:r>
        <w:t xml:space="preserve"> 2 cm² and &lt; 20 cm². </w:t>
      </w:r>
      <w:r w:rsidR="00FE11D7">
        <w:t xml:space="preserve">Although, </w:t>
      </w:r>
      <w:r w:rsidR="00456C41">
        <w:t xml:space="preserve">the </w:t>
      </w:r>
      <w:r w:rsidR="00FE11D7">
        <w:t>MBS</w:t>
      </w:r>
      <w:r w:rsidR="00CE06F5">
        <w:t xml:space="preserve"> item for microfracture does not include any restrictions based on lesion size, </w:t>
      </w:r>
      <w:r w:rsidR="008F7CB7">
        <w:t>guidance from a UK</w:t>
      </w:r>
      <w:r w:rsidR="008F7CB7" w:rsidRPr="008F7CB7">
        <w:t xml:space="preserve"> Consensus Paper</w:t>
      </w:r>
      <w:r w:rsidR="008F7CB7">
        <w:t xml:space="preserve"> and the applicant indicate that</w:t>
      </w:r>
      <w:r w:rsidR="0084706A">
        <w:t xml:space="preserve"> </w:t>
      </w:r>
      <w:r w:rsidR="00134255">
        <w:t xml:space="preserve">microfracture </w:t>
      </w:r>
      <w:r w:rsidR="0084706A">
        <w:t xml:space="preserve">should  </w:t>
      </w:r>
      <w:r w:rsidR="00B83AED">
        <w:t xml:space="preserve">not be used </w:t>
      </w:r>
      <w:r w:rsidR="00134255">
        <w:t xml:space="preserve">for lesions </w:t>
      </w:r>
      <w:r w:rsidR="00B83AED">
        <w:t xml:space="preserve">greater </w:t>
      </w:r>
      <w:r w:rsidR="00134255">
        <w:t>than 4 cm²</w:t>
      </w:r>
      <w:r w:rsidR="00604EBA">
        <w:t>.</w:t>
      </w:r>
      <w:r w:rsidR="002F3109">
        <w:t xml:space="preserve"> </w:t>
      </w:r>
      <w:r w:rsidR="00897CB8">
        <w:t xml:space="preserve">Further, although </w:t>
      </w:r>
      <w:r w:rsidR="00FC3E54">
        <w:t>the</w:t>
      </w:r>
      <w:r w:rsidR="002257D7">
        <w:t xml:space="preserve"> SUMMIT RCT include</w:t>
      </w:r>
      <w:r w:rsidR="00047BC5">
        <w:t>d patients with</w:t>
      </w:r>
      <w:r w:rsidR="002257D7">
        <w:t xml:space="preserve"> lesions </w:t>
      </w:r>
      <w:r w:rsidR="002257D7" w:rsidRPr="00690B49">
        <w:rPr>
          <w:rFonts w:cs="Calibri"/>
        </w:rPr>
        <w:t>≥</w:t>
      </w:r>
      <w:r w:rsidR="002257D7">
        <w:t xml:space="preserve"> 3 cm² and &lt; 20 cm², </w:t>
      </w:r>
      <w:r w:rsidR="00DB748D">
        <w:t>the</w:t>
      </w:r>
      <w:r w:rsidR="002257D7">
        <w:t xml:space="preserve"> mean lesion size </w:t>
      </w:r>
      <w:r w:rsidR="00DB748D">
        <w:t xml:space="preserve">was </w:t>
      </w:r>
      <w:r w:rsidR="002257D7">
        <w:t>4.8 cm²</w:t>
      </w:r>
      <w:r w:rsidR="00690B49">
        <w:t>. Therefore</w:t>
      </w:r>
      <w:r w:rsidR="00FC3E54">
        <w:t>,</w:t>
      </w:r>
      <w:r w:rsidR="00690B49">
        <w:t xml:space="preserve"> microfra</w:t>
      </w:r>
      <w:r>
        <w:t>c</w:t>
      </w:r>
      <w:r w:rsidR="00690B49">
        <w:t>ture may not be an appropriate comparator for larger lesions (&gt;4 cm</w:t>
      </w:r>
      <w:r w:rsidR="00690B49">
        <w:rPr>
          <w:vertAlign w:val="superscript"/>
        </w:rPr>
        <w:t>2</w:t>
      </w:r>
      <w:r w:rsidR="00690B49">
        <w:t>)</w:t>
      </w:r>
      <w:r>
        <w:t>.</w:t>
      </w:r>
    </w:p>
    <w:p w14:paraId="5C2E65D0" w14:textId="1C2B4EFA" w:rsidR="00612FA2" w:rsidRDefault="007046DE" w:rsidP="00690B49">
      <w:pPr>
        <w:pStyle w:val="ListParagraph"/>
        <w:numPr>
          <w:ilvl w:val="0"/>
          <w:numId w:val="27"/>
        </w:numPr>
      </w:pPr>
      <w:r>
        <w:t xml:space="preserve">Similarly, </w:t>
      </w:r>
      <w:r w:rsidR="00DB7C68" w:rsidRPr="00DB7C68">
        <w:t xml:space="preserve">the key clinical evidence </w:t>
      </w:r>
      <w:r w:rsidR="00F23594">
        <w:t xml:space="preserve">did </w:t>
      </w:r>
      <w:r w:rsidR="00DB7C68" w:rsidRPr="00DB7C68">
        <w:t>not include small lesions (2-3</w:t>
      </w:r>
      <w:r w:rsidR="00366040">
        <w:t xml:space="preserve"> cm²</w:t>
      </w:r>
      <w:r w:rsidR="00DB7C68" w:rsidRPr="00DB7C68">
        <w:t>)</w:t>
      </w:r>
      <w:r w:rsidR="00F23594">
        <w:t xml:space="preserve">, which </w:t>
      </w:r>
      <w:r w:rsidR="00FE11D7">
        <w:t xml:space="preserve">may impact </w:t>
      </w:r>
      <w:r w:rsidR="00F23594">
        <w:t xml:space="preserve">the ability to provide an evidence based </w:t>
      </w:r>
      <w:r w:rsidR="00FE11D7">
        <w:t xml:space="preserve">comparison </w:t>
      </w:r>
      <w:r w:rsidR="00F23594">
        <w:t xml:space="preserve">of matrix-assisted ACI </w:t>
      </w:r>
      <w:r w:rsidR="00FE11D7">
        <w:t xml:space="preserve">with microfracture </w:t>
      </w:r>
      <w:r w:rsidR="00F23594">
        <w:t xml:space="preserve">for </w:t>
      </w:r>
      <w:r w:rsidR="00FE11D7">
        <w:t xml:space="preserve">patients with lesions this size. </w:t>
      </w:r>
    </w:p>
    <w:p w14:paraId="3B0498E0" w14:textId="6F33B5E7" w:rsidR="00410DCD" w:rsidRPr="0096412E" w:rsidRDefault="007046DE" w:rsidP="002B19A7">
      <w:pPr>
        <w:pStyle w:val="ListParagraph"/>
        <w:numPr>
          <w:ilvl w:val="0"/>
          <w:numId w:val="27"/>
        </w:numPr>
      </w:pPr>
      <w:r>
        <w:t xml:space="preserve">The most recent PASC advice </w:t>
      </w:r>
      <w:r w:rsidR="003C5C75">
        <w:t>regarding the</w:t>
      </w:r>
      <w:r w:rsidR="003C5C75" w:rsidRPr="0005201B">
        <w:rPr>
          <w:iCs/>
        </w:rPr>
        <w:t xml:space="preserve"> appropriate comparator for </w:t>
      </w:r>
      <w:r w:rsidR="003C5C75">
        <w:t>matrix-assisted ACI</w:t>
      </w:r>
      <w:r w:rsidR="003C5C75" w:rsidRPr="0005201B">
        <w:rPr>
          <w:iCs/>
        </w:rPr>
        <w:t xml:space="preserve"> was primarily watchful waiting (conservative or no treatment</w:t>
      </w:r>
      <w:r w:rsidR="003C5C75">
        <w:rPr>
          <w:iCs/>
        </w:rPr>
        <w:t xml:space="preserve"> </w:t>
      </w:r>
      <w:r w:rsidR="003C5C75" w:rsidRPr="0005201B">
        <w:rPr>
          <w:iCs/>
        </w:rPr>
        <w:t>followed by knee replacement surgery when indicated) or, secondarily, earlier partial or full knee</w:t>
      </w:r>
      <w:r w:rsidR="003C5C75">
        <w:rPr>
          <w:iCs/>
        </w:rPr>
        <w:t xml:space="preserve"> </w:t>
      </w:r>
      <w:r w:rsidR="003C5C75" w:rsidRPr="0005201B">
        <w:rPr>
          <w:iCs/>
        </w:rPr>
        <w:t>replacemen</w:t>
      </w:r>
      <w:r w:rsidR="001C20AB">
        <w:rPr>
          <w:iCs/>
        </w:rPr>
        <w:t>t (</w:t>
      </w:r>
      <w:r w:rsidR="00673696">
        <w:rPr>
          <w:iCs/>
        </w:rPr>
        <w:t>DAP for application 1273</w:t>
      </w:r>
      <w:r w:rsidR="001C20AB">
        <w:rPr>
          <w:iCs/>
        </w:rPr>
        <w:t xml:space="preserve">). </w:t>
      </w:r>
      <w:r w:rsidR="0096412E">
        <w:rPr>
          <w:iCs/>
        </w:rPr>
        <w:t xml:space="preserve">Application 1273 proposed </w:t>
      </w:r>
      <w:r w:rsidR="001C20AB">
        <w:rPr>
          <w:iCs/>
        </w:rPr>
        <w:t xml:space="preserve">stratification of </w:t>
      </w:r>
      <w:r w:rsidR="002A05B2">
        <w:rPr>
          <w:iCs/>
        </w:rPr>
        <w:t>the population by lesion size</w:t>
      </w:r>
      <w:r w:rsidR="002B19A7">
        <w:rPr>
          <w:iCs/>
        </w:rPr>
        <w:t xml:space="preserve"> (</w:t>
      </w:r>
      <w:r w:rsidR="0096412E">
        <w:rPr>
          <w:iCs/>
        </w:rPr>
        <w:t xml:space="preserve">i.e. </w:t>
      </w:r>
      <w:r w:rsidR="002B19A7">
        <w:rPr>
          <w:rFonts w:cs="Calibri"/>
          <w:iCs/>
        </w:rPr>
        <w:t>≥</w:t>
      </w:r>
      <w:r w:rsidR="002B19A7">
        <w:rPr>
          <w:iCs/>
        </w:rPr>
        <w:t> 2 </w:t>
      </w:r>
      <w:r w:rsidR="002B19A7" w:rsidRPr="002B19A7">
        <w:rPr>
          <w:iCs/>
        </w:rPr>
        <w:t>cm²</w:t>
      </w:r>
      <w:r w:rsidR="00C55AE9">
        <w:rPr>
          <w:iCs/>
        </w:rPr>
        <w:t xml:space="preserve"> to 4 </w:t>
      </w:r>
      <w:r w:rsidR="002B19A7" w:rsidRPr="002B19A7">
        <w:rPr>
          <w:iCs/>
        </w:rPr>
        <w:t>cm²</w:t>
      </w:r>
      <w:r w:rsidR="0096412E">
        <w:rPr>
          <w:iCs/>
        </w:rPr>
        <w:t>;</w:t>
      </w:r>
      <w:r w:rsidR="00C55AE9">
        <w:rPr>
          <w:iCs/>
        </w:rPr>
        <w:t xml:space="preserve"> and &gt; 4 </w:t>
      </w:r>
      <w:r w:rsidR="00C55AE9" w:rsidRPr="002B19A7">
        <w:rPr>
          <w:iCs/>
        </w:rPr>
        <w:t>cm²</w:t>
      </w:r>
      <w:r w:rsidR="002B19A7">
        <w:rPr>
          <w:iCs/>
        </w:rPr>
        <w:t xml:space="preserve">) </w:t>
      </w:r>
      <w:r w:rsidR="0096412E">
        <w:rPr>
          <w:iCs/>
        </w:rPr>
        <w:t>but that</w:t>
      </w:r>
      <w:r w:rsidR="002B19A7">
        <w:rPr>
          <w:iCs/>
        </w:rPr>
        <w:t xml:space="preserve"> </w:t>
      </w:r>
      <w:r w:rsidR="001C20AB" w:rsidRPr="002A05B2">
        <w:rPr>
          <w:iCs/>
        </w:rPr>
        <w:t>was not supported</w:t>
      </w:r>
      <w:r w:rsidR="00673696" w:rsidRPr="002A05B2">
        <w:rPr>
          <w:iCs/>
        </w:rPr>
        <w:t xml:space="preserve"> by PASC</w:t>
      </w:r>
      <w:r w:rsidR="002F424F">
        <w:rPr>
          <w:iCs/>
        </w:rPr>
        <w:t xml:space="preserve"> in that application.</w:t>
      </w:r>
    </w:p>
    <w:p w14:paraId="68DE4A38" w14:textId="2EEF389E" w:rsidR="0096412E" w:rsidRDefault="007046DE" w:rsidP="00154A13">
      <w:pPr>
        <w:pStyle w:val="ListParagraph"/>
        <w:numPr>
          <w:ilvl w:val="0"/>
          <w:numId w:val="27"/>
        </w:numPr>
      </w:pPr>
      <w:r w:rsidRPr="00BA7D3C">
        <w:t xml:space="preserve">MSAC </w:t>
      </w:r>
      <w:r>
        <w:t xml:space="preserve">has expressed concern regarding </w:t>
      </w:r>
      <w:r w:rsidR="00F41E80">
        <w:t xml:space="preserve">the </w:t>
      </w:r>
      <w:r w:rsidR="002F424F">
        <w:t xml:space="preserve">lack of </w:t>
      </w:r>
      <w:r>
        <w:t xml:space="preserve">evidence </w:t>
      </w:r>
      <w:r w:rsidR="002F424F">
        <w:t xml:space="preserve">supporting </w:t>
      </w:r>
      <w:r>
        <w:t xml:space="preserve">that microfracture is safe and effective, </w:t>
      </w:r>
      <w:r w:rsidR="00C17F4A">
        <w:t xml:space="preserve">noting </w:t>
      </w:r>
      <w:r w:rsidR="00FB6EF2" w:rsidRPr="00FB6EF2">
        <w:t>any resubmission</w:t>
      </w:r>
      <w:r w:rsidR="00FB6EF2">
        <w:t xml:space="preserve"> of </w:t>
      </w:r>
      <w:r w:rsidR="00E25E30">
        <w:t xml:space="preserve">JointRep </w:t>
      </w:r>
      <w:r w:rsidR="00676A79">
        <w:t>(</w:t>
      </w:r>
      <w:r w:rsidR="00E25E30">
        <w:t>an injectable device added to microfracture)</w:t>
      </w:r>
      <w:r w:rsidR="00FB6EF2" w:rsidRPr="00FB6EF2">
        <w:t xml:space="preserve"> would need to present clinical trial evidence addressing the safety and effectiveness of microfracture alone</w:t>
      </w:r>
      <w:r w:rsidR="00300256">
        <w:t xml:space="preserve"> (compared to placebo</w:t>
      </w:r>
      <w:r w:rsidR="003F27D0">
        <w:t>)</w:t>
      </w:r>
      <w:r w:rsidR="002F424F">
        <w:t>. The</w:t>
      </w:r>
      <w:r w:rsidR="003F27D0">
        <w:t xml:space="preserve"> need for such a trial could be referred to the Medical Research Future Fund (M</w:t>
      </w:r>
      <w:r w:rsidR="00672F22">
        <w:t>RFF)</w:t>
      </w:r>
      <w:r w:rsidR="00E25E30">
        <w:t xml:space="preserve"> (P</w:t>
      </w:r>
      <w:r w:rsidR="00E6581E">
        <w:t>ublic Summary Document</w:t>
      </w:r>
      <w:r w:rsidR="00E25E30">
        <w:t xml:space="preserve"> </w:t>
      </w:r>
      <w:r w:rsidR="00EE63E0">
        <w:t xml:space="preserve">[PSD] </w:t>
      </w:r>
      <w:r w:rsidR="00E25E30">
        <w:t xml:space="preserve">for </w:t>
      </w:r>
      <w:r w:rsidR="00676A79">
        <w:t>application 1578)</w:t>
      </w:r>
      <w:r w:rsidR="003F27D0">
        <w:t>.</w:t>
      </w:r>
    </w:p>
    <w:p w14:paraId="7F7D4702" w14:textId="5E6680EB" w:rsidR="009D0D68" w:rsidRDefault="007046DE" w:rsidP="009D0D68">
      <w:r>
        <w:t>No Australian guidance was identified for the management of patients with symptomatic chondral lesions of the knee. In 2015, a UK Consensus Paper was published,</w:t>
      </w:r>
      <w:r w:rsidRPr="00DA1E92">
        <w:t xml:space="preserve"> </w:t>
      </w:r>
      <w:r>
        <w:t xml:space="preserve">facilitated by the British Association for Surgery of the Knee, on the surgical management of symptomatic articular cartilage lesions of the knee (Biant et al. 2015). It includes evidence-based, consensus recommendations for managing these defects where conservative treatment has failed. </w:t>
      </w:r>
    </w:p>
    <w:p w14:paraId="2B358171" w14:textId="041A22B9" w:rsidR="009D0D68" w:rsidRPr="009D0D68" w:rsidRDefault="007046DE" w:rsidP="00791986">
      <w:r>
        <w:t>For patients who remain symptomatic after conservative treatment, activity level and willingness to undergo rehabilitation are taken into consideration when deciding the most appropriate management strategy.</w:t>
      </w:r>
    </w:p>
    <w:p w14:paraId="037160CA" w14:textId="7BAE02A4" w:rsidR="00B80C6B" w:rsidRDefault="007046DE" w:rsidP="000E549F">
      <w:r>
        <w:t xml:space="preserve">For patients who </w:t>
      </w:r>
      <w:r w:rsidR="00C459DE">
        <w:t>proceed to a</w:t>
      </w:r>
      <w:r w:rsidR="005F3FCD">
        <w:t xml:space="preserve"> knee cartilage</w:t>
      </w:r>
      <w:r w:rsidR="00C459DE">
        <w:t xml:space="preserve"> surg</w:t>
      </w:r>
      <w:r w:rsidR="00CA209A">
        <w:t>ery</w:t>
      </w:r>
      <w:r w:rsidR="00C459DE">
        <w:t xml:space="preserve"> option, m</w:t>
      </w:r>
      <w:r w:rsidR="00A60321">
        <w:t xml:space="preserve">icrofracture </w:t>
      </w:r>
      <w:r w:rsidR="00797511">
        <w:t xml:space="preserve">is the most frequently used </w:t>
      </w:r>
      <w:r w:rsidR="00DF1FAD">
        <w:t xml:space="preserve">marrow-stimulating </w:t>
      </w:r>
      <w:r w:rsidR="00797511">
        <w:t>technique</w:t>
      </w:r>
      <w:r w:rsidR="009C2A37">
        <w:t>, but o</w:t>
      </w:r>
      <w:r w:rsidR="00DF1FAD">
        <w:t xml:space="preserve">ther options include </w:t>
      </w:r>
      <w:r w:rsidR="00E966B5">
        <w:t xml:space="preserve">drilling </w:t>
      </w:r>
      <w:r w:rsidR="00556A4B">
        <w:t xml:space="preserve">and </w:t>
      </w:r>
      <w:r w:rsidR="00CD3A7F">
        <w:t>nanofracture</w:t>
      </w:r>
      <w:r w:rsidR="009C2A37">
        <w:t xml:space="preserve">. </w:t>
      </w:r>
      <w:r w:rsidR="006107C3">
        <w:t>S</w:t>
      </w:r>
      <w:r w:rsidR="00964E4F">
        <w:t xml:space="preserve">mall perforations </w:t>
      </w:r>
      <w:r w:rsidR="006107C3">
        <w:t xml:space="preserve">are created </w:t>
      </w:r>
      <w:r w:rsidR="00964E4F">
        <w:t>in the subchondral bone at the lesion site using surgical awls</w:t>
      </w:r>
      <w:r w:rsidR="001765B0">
        <w:t xml:space="preserve">, </w:t>
      </w:r>
      <w:r w:rsidR="00964E4F">
        <w:t>drill bits</w:t>
      </w:r>
      <w:r w:rsidR="001765B0">
        <w:t xml:space="preserve"> or other specialised instruments</w:t>
      </w:r>
      <w:r w:rsidR="00CC03FF">
        <w:t xml:space="preserve">. </w:t>
      </w:r>
      <w:r w:rsidR="00715473">
        <w:t>The consequent</w:t>
      </w:r>
      <w:r w:rsidR="00D77F13">
        <w:t xml:space="preserve"> bleeding from the bone marrow</w:t>
      </w:r>
      <w:r w:rsidR="00715473">
        <w:t xml:space="preserve"> </w:t>
      </w:r>
      <w:r w:rsidR="00D77F13">
        <w:t xml:space="preserve">introduces stem cells into the </w:t>
      </w:r>
      <w:r w:rsidR="00011A63">
        <w:t>lesion</w:t>
      </w:r>
      <w:r w:rsidR="00990BFD">
        <w:t xml:space="preserve">, which </w:t>
      </w:r>
      <w:r w:rsidR="003D74E1">
        <w:t>proliferat</w:t>
      </w:r>
      <w:r w:rsidR="00990BFD">
        <w:t>e</w:t>
      </w:r>
      <w:r w:rsidR="003D74E1">
        <w:t xml:space="preserve"> and </w:t>
      </w:r>
      <w:r w:rsidR="00A202A0">
        <w:t>generate</w:t>
      </w:r>
      <w:r w:rsidR="003D74E1">
        <w:t xml:space="preserve"> new ca</w:t>
      </w:r>
      <w:r w:rsidR="007A0C73">
        <w:t>rtilage</w:t>
      </w:r>
      <w:r w:rsidR="00990BFD">
        <w:t>.</w:t>
      </w:r>
      <w:r w:rsidR="00267D6D">
        <w:t xml:space="preserve"> </w:t>
      </w:r>
      <w:r w:rsidR="00990BFD">
        <w:t>The</w:t>
      </w:r>
      <w:r w:rsidR="00D00F41">
        <w:t xml:space="preserve"> </w:t>
      </w:r>
      <w:r w:rsidR="00C446FD">
        <w:t>aim</w:t>
      </w:r>
      <w:r w:rsidR="003569C4">
        <w:t xml:space="preserve"> </w:t>
      </w:r>
      <w:r w:rsidR="00D00F41">
        <w:t xml:space="preserve">is to </w:t>
      </w:r>
      <w:r w:rsidR="00011A63">
        <w:t>produc</w:t>
      </w:r>
      <w:r w:rsidR="009F41A3">
        <w:t>e</w:t>
      </w:r>
      <w:r w:rsidR="003569C4">
        <w:t xml:space="preserve"> </w:t>
      </w:r>
      <w:r w:rsidR="006F44F7">
        <w:t>hyaline cartilage</w:t>
      </w:r>
      <w:r w:rsidR="00EF3D91">
        <w:t>,</w:t>
      </w:r>
      <w:r w:rsidR="00EE2CEA">
        <w:t xml:space="preserve"> but</w:t>
      </w:r>
      <w:r w:rsidR="00EF3D91">
        <w:t xml:space="preserve"> </w:t>
      </w:r>
      <w:r w:rsidR="008F59BE">
        <w:t>the technique</w:t>
      </w:r>
      <w:r w:rsidR="003569C4">
        <w:t xml:space="preserve"> </w:t>
      </w:r>
      <w:r w:rsidR="000E549F">
        <w:t xml:space="preserve">can </w:t>
      </w:r>
      <w:r w:rsidR="00A84A25">
        <w:lastRenderedPageBreak/>
        <w:t>produce</w:t>
      </w:r>
      <w:r w:rsidR="000E549F">
        <w:t xml:space="preserve"> </w:t>
      </w:r>
      <w:r w:rsidR="00485988">
        <w:t xml:space="preserve">mostly </w:t>
      </w:r>
      <w:r w:rsidR="000E549F">
        <w:t>fibrous cartilage</w:t>
      </w:r>
      <w:r w:rsidR="00F4193C">
        <w:t xml:space="preserve"> (type I collagen)</w:t>
      </w:r>
      <w:r w:rsidR="008F59BE">
        <w:t xml:space="preserve">, which </w:t>
      </w:r>
      <w:r w:rsidR="00F4193C">
        <w:t>has</w:t>
      </w:r>
      <w:r w:rsidR="008F59BE">
        <w:t xml:space="preserve"> </w:t>
      </w:r>
      <w:r w:rsidR="000E549F">
        <w:t>weaker biochemical and biomechanical properties</w:t>
      </w:r>
      <w:r w:rsidR="00F0681D">
        <w:t xml:space="preserve"> than hyaline cartilage</w:t>
      </w:r>
      <w:r w:rsidR="00787B8B">
        <w:t xml:space="preserve"> and </w:t>
      </w:r>
      <w:r w:rsidR="00A07E94">
        <w:t xml:space="preserve">is associated with </w:t>
      </w:r>
      <w:r w:rsidR="008334FB">
        <w:t>poor</w:t>
      </w:r>
      <w:r w:rsidR="00A84A25">
        <w:t xml:space="preserve"> long-term outcomes</w:t>
      </w:r>
      <w:r w:rsidR="000E549F">
        <w:t xml:space="preserve"> (Jareki et al</w:t>
      </w:r>
      <w:r w:rsidR="00F05008">
        <w:t>. 2023)</w:t>
      </w:r>
      <w:r w:rsidR="00A84A25">
        <w:t>.</w:t>
      </w:r>
    </w:p>
    <w:p w14:paraId="3DE2A01F" w14:textId="4CE513C5" w:rsidR="004A41F4" w:rsidRPr="004A41F4" w:rsidRDefault="007046DE" w:rsidP="004A41F4">
      <w:r>
        <w:t xml:space="preserve">There are alternative surgical options. Osteochondral autologous grafting aims to repair the lesion by transplanting cylinders of chondrocyte-bearing hyaline cartilage attached to subchondral bone sourced from an unaffected part of the joint, or another joint within the patient. This technique is appropriate for both chondral (e.g. </w:t>
      </w:r>
      <w:r w:rsidR="005D2C7C">
        <w:t xml:space="preserve">grade </w:t>
      </w:r>
      <w:r>
        <w:t xml:space="preserve">3) and osteochondral (i.e. </w:t>
      </w:r>
      <w:r w:rsidR="005D2C7C">
        <w:t xml:space="preserve">grade </w:t>
      </w:r>
      <w:r>
        <w:t>4) defects.</w:t>
      </w:r>
      <w:r w:rsidRPr="00E616D8">
        <w:t xml:space="preserve"> </w:t>
      </w:r>
      <w:r>
        <w:t>There are two main approaches to osteochondral autografts: osteochondral autograft</w:t>
      </w:r>
      <w:r w:rsidRPr="00637499">
        <w:t xml:space="preserve"> </w:t>
      </w:r>
      <w:r w:rsidRPr="001A644B">
        <w:t xml:space="preserve">transplantation </w:t>
      </w:r>
      <w:r>
        <w:t>(</w:t>
      </w:r>
      <w:r w:rsidRPr="001A644B">
        <w:t>OAT</w:t>
      </w:r>
      <w:r>
        <w:t xml:space="preserve">), which uses one or a few cylinders of osteochondral tissue; and mosaicplasty, which involves the grafting of multiple, small plugs (Medina and </w:t>
      </w:r>
      <w:r>
        <w:rPr>
          <w:rFonts w:eastAsiaTheme="minorHAnsi" w:cs="Calibri"/>
        </w:rPr>
        <w:t>Görtz 2023</w:t>
      </w:r>
      <w:r>
        <w:t>).</w:t>
      </w:r>
    </w:p>
    <w:p w14:paraId="60403F4E" w14:textId="0D39E4FE" w:rsidR="004A41F4" w:rsidRDefault="007046DE" w:rsidP="004A41F4">
      <w:r>
        <w:t xml:space="preserve">For particularly large lesions, or where sufficient autograft tissue is </w:t>
      </w:r>
      <w:r w:rsidR="005D2C7C">
        <w:t>un</w:t>
      </w:r>
      <w:r>
        <w:t>available, osteochondral cylinders may be sourced from a cadaver (osteochondral allograft).</w:t>
      </w:r>
    </w:p>
    <w:p w14:paraId="52E6EAA3" w14:textId="6CD577E3" w:rsidR="00F13FE6" w:rsidRDefault="007046DE" w:rsidP="004A41F4">
      <w:r>
        <w:t xml:space="preserve">Although an </w:t>
      </w:r>
      <w:r w:rsidRPr="006F649E">
        <w:t>RCT compar</w:t>
      </w:r>
      <w:r>
        <w:t>ing</w:t>
      </w:r>
      <w:r w:rsidRPr="006F649E">
        <w:t xml:space="preserve"> ACI with mosaicplasty (Bentley et al. 2012)</w:t>
      </w:r>
      <w:r>
        <w:t xml:space="preserve"> has been listed</w:t>
      </w:r>
      <w:r w:rsidRPr="006F649E">
        <w:t xml:space="preserve"> by the applicant</w:t>
      </w:r>
      <w:r>
        <w:t xml:space="preserve"> in the summary of evidence, the applicant has stated that this is </w:t>
      </w:r>
      <w:r w:rsidR="00153868">
        <w:t xml:space="preserve">for the sake of comprehensiveness. </w:t>
      </w:r>
      <w:r w:rsidR="00435CFF">
        <w:t xml:space="preserve">Despite this, the </w:t>
      </w:r>
      <w:r w:rsidR="006F649E" w:rsidRPr="006F649E">
        <w:t>applica</w:t>
      </w:r>
      <w:r>
        <w:t>nt</w:t>
      </w:r>
      <w:r w:rsidR="006F649E" w:rsidRPr="006F649E">
        <w:t xml:space="preserve"> </w:t>
      </w:r>
      <w:r w:rsidR="00435CFF">
        <w:t>does not</w:t>
      </w:r>
      <w:r w:rsidR="006F649E" w:rsidRPr="006F649E">
        <w:t xml:space="preserve"> propose mosaicplasty as a comparator, </w:t>
      </w:r>
      <w:r>
        <w:t>stating</w:t>
      </w:r>
      <w:r w:rsidR="006F649E" w:rsidRPr="006F649E">
        <w:t xml:space="preserve"> </w:t>
      </w:r>
      <w:r w:rsidR="00435CFF">
        <w:t xml:space="preserve">that </w:t>
      </w:r>
      <w:r w:rsidR="00AA0CC0">
        <w:t>it</w:t>
      </w:r>
      <w:r w:rsidR="00435CFF">
        <w:t xml:space="preserve"> </w:t>
      </w:r>
      <w:r w:rsidR="006F649E" w:rsidRPr="006F649E">
        <w:t>is not frequently used in Australia.</w:t>
      </w:r>
      <w:r>
        <w:rPr>
          <w:rStyle w:val="FootnoteReference"/>
        </w:rPr>
        <w:footnoteReference w:id="5"/>
      </w:r>
    </w:p>
    <w:p w14:paraId="5B978E88" w14:textId="3016723C" w:rsidR="006F649E" w:rsidRDefault="007046DE" w:rsidP="004A41F4">
      <w:r w:rsidRPr="006F649E">
        <w:t>The applicat</w:t>
      </w:r>
      <w:r w:rsidR="00364C62">
        <w:t>ion</w:t>
      </w:r>
      <w:r w:rsidRPr="006F649E">
        <w:t xml:space="preserve"> did not </w:t>
      </w:r>
      <w:r w:rsidR="004E5E7E">
        <w:t>discuss</w:t>
      </w:r>
      <w:r w:rsidRPr="006F649E">
        <w:t xml:space="preserve"> OAT or osteochondral allograft</w:t>
      </w:r>
      <w:r w:rsidR="004E5E7E">
        <w:t>ing</w:t>
      </w:r>
      <w:r w:rsidRPr="006F649E">
        <w:t>.</w:t>
      </w:r>
    </w:p>
    <w:p w14:paraId="205C4667" w14:textId="09499B8C" w:rsidR="004C0E10" w:rsidRDefault="007046DE" w:rsidP="004C0E10">
      <w:pPr>
        <w:pStyle w:val="Heading4"/>
      </w:pPr>
      <w:r>
        <w:t xml:space="preserve">Comparator by </w:t>
      </w:r>
      <w:r w:rsidR="00392C36">
        <w:t>l</w:t>
      </w:r>
      <w:r w:rsidR="004A41F4">
        <w:t>esion size</w:t>
      </w:r>
    </w:p>
    <w:p w14:paraId="7EB03561" w14:textId="0DC0562F" w:rsidR="00BD4090" w:rsidRDefault="007046DE" w:rsidP="00296AEB">
      <w:r>
        <w:t xml:space="preserve">According </w:t>
      </w:r>
      <w:r w:rsidR="004A41F4">
        <w:t xml:space="preserve">to </w:t>
      </w:r>
      <w:r w:rsidR="00041CD1">
        <w:t>th</w:t>
      </w:r>
      <w:r w:rsidR="00CD1DB6">
        <w:t>e</w:t>
      </w:r>
      <w:r w:rsidR="00041CD1">
        <w:t xml:space="preserve"> UK Consensus Paper</w:t>
      </w:r>
      <w:r w:rsidR="004A41F4">
        <w:t>,</w:t>
      </w:r>
      <w:r w:rsidR="00F304EF">
        <w:t xml:space="preserve"> where </w:t>
      </w:r>
      <w:r w:rsidR="00225BBF">
        <w:t xml:space="preserve">it has been decided </w:t>
      </w:r>
      <w:r w:rsidR="0095669E">
        <w:t xml:space="preserve">to proceed with </w:t>
      </w:r>
      <w:r w:rsidR="00F4193F">
        <w:t xml:space="preserve">knee cartilage </w:t>
      </w:r>
      <w:r>
        <w:t>surg</w:t>
      </w:r>
      <w:r w:rsidR="0095669E">
        <w:t>ery</w:t>
      </w:r>
      <w:r w:rsidR="00296AEB">
        <w:t>,</w:t>
      </w:r>
      <w:r w:rsidR="00225BBF">
        <w:t xml:space="preserve"> </w:t>
      </w:r>
      <w:r w:rsidR="004A41F4" w:rsidRPr="00F92967">
        <w:t xml:space="preserve">lesion size is the primary </w:t>
      </w:r>
      <w:r w:rsidR="00296AEB">
        <w:t xml:space="preserve">factor </w:t>
      </w:r>
      <w:r w:rsidR="004A41F4" w:rsidRPr="00F92967">
        <w:t xml:space="preserve">determining </w:t>
      </w:r>
      <w:r w:rsidR="00296AEB">
        <w:t>which</w:t>
      </w:r>
      <w:r w:rsidR="004A41F4" w:rsidRPr="00F92967">
        <w:t xml:space="preserve"> surgical </w:t>
      </w:r>
      <w:r w:rsidR="00296AEB">
        <w:t>approach is most appropriate</w:t>
      </w:r>
      <w:r w:rsidR="00917083">
        <w:t xml:space="preserve"> (Biant et al. 2015)</w:t>
      </w:r>
      <w:r w:rsidR="00041CD1">
        <w:t xml:space="preserve">. </w:t>
      </w:r>
      <w:r w:rsidR="009F5B18">
        <w:t xml:space="preserve">The consensus recommendations for </w:t>
      </w:r>
      <w:r w:rsidR="00883EF2">
        <w:t xml:space="preserve">various lesion sizes </w:t>
      </w:r>
      <w:r w:rsidR="00635E22">
        <w:t>are</w:t>
      </w:r>
      <w:r w:rsidR="00883EF2">
        <w:t xml:space="preserve"> summarised in </w:t>
      </w:r>
      <w:r w:rsidR="00883EF2">
        <w:fldChar w:fldCharType="begin"/>
      </w:r>
      <w:r w:rsidR="00883EF2">
        <w:instrText xml:space="preserve"> REF _Ref161915370 \h </w:instrText>
      </w:r>
      <w:r w:rsidR="00883EF2">
        <w:fldChar w:fldCharType="separate"/>
      </w:r>
      <w:r w:rsidR="00E602A3">
        <w:t xml:space="preserve">Table </w:t>
      </w:r>
      <w:r w:rsidR="00E602A3">
        <w:rPr>
          <w:noProof/>
        </w:rPr>
        <w:t>5</w:t>
      </w:r>
      <w:r w:rsidR="00883EF2">
        <w:fldChar w:fldCharType="end"/>
      </w:r>
      <w:r w:rsidR="00883EF2">
        <w:t xml:space="preserve">. </w:t>
      </w:r>
      <w:r w:rsidR="00D64FD5">
        <w:t xml:space="preserve">Microfracture </w:t>
      </w:r>
      <w:r w:rsidR="005A1006">
        <w:t xml:space="preserve">and similar regenerative interventions are </w:t>
      </w:r>
      <w:r w:rsidR="00E80AFD">
        <w:t xml:space="preserve">recommended for symptomatic </w:t>
      </w:r>
      <w:r w:rsidR="00E80AFD" w:rsidRPr="00F92967">
        <w:t xml:space="preserve">lesions </w:t>
      </w:r>
      <w:r w:rsidR="00E80AFD">
        <w:t>&lt; </w:t>
      </w:r>
      <w:r w:rsidR="00E80AFD" w:rsidRPr="00F92967">
        <w:t>2 cm²</w:t>
      </w:r>
      <w:r w:rsidR="00AC2FCC">
        <w:t xml:space="preserve">. However, these techniques </w:t>
      </w:r>
      <w:r w:rsidR="00D64FD5">
        <w:t xml:space="preserve">may </w:t>
      </w:r>
      <w:r w:rsidR="00C27E3F">
        <w:t xml:space="preserve">result in </w:t>
      </w:r>
      <w:r w:rsidR="00986DFC">
        <w:t xml:space="preserve">poor </w:t>
      </w:r>
      <w:r w:rsidR="00986DFC" w:rsidRPr="00450568">
        <w:t>intermediate</w:t>
      </w:r>
      <w:r w:rsidR="00986DFC">
        <w:t>-</w:t>
      </w:r>
      <w:r w:rsidR="00986DFC" w:rsidRPr="00450568">
        <w:t>term result</w:t>
      </w:r>
      <w:r w:rsidR="00986DFC">
        <w:t xml:space="preserve">s </w:t>
      </w:r>
      <w:r w:rsidR="00BA12D6">
        <w:t>for</w:t>
      </w:r>
      <w:r w:rsidR="004265F8">
        <w:t xml:space="preserve"> lesions between 2 cm² and 4 cm²</w:t>
      </w:r>
      <w:r w:rsidR="005A1006">
        <w:t>,</w:t>
      </w:r>
      <w:r w:rsidR="00986DFC">
        <w:t xml:space="preserve"> and should not be used for lesion &gt; 4 cm²</w:t>
      </w:r>
      <w:r w:rsidR="00DF7502">
        <w:t xml:space="preserve"> (Biant et al. 2015)</w:t>
      </w:r>
      <w:r w:rsidR="00986DFC">
        <w:t>.</w:t>
      </w:r>
      <w:r w:rsidR="00822F5A">
        <w:t xml:space="preserve"> </w:t>
      </w:r>
      <w:r>
        <w:t xml:space="preserve">The same recommendations apply to reconstructive interventions – </w:t>
      </w:r>
      <w:r w:rsidRPr="00F92967">
        <w:t>mosaicplasty</w:t>
      </w:r>
      <w:r>
        <w:t xml:space="preserve"> and OAT – with </w:t>
      </w:r>
      <w:r w:rsidRPr="003D3240">
        <w:t xml:space="preserve">high donor site morbidity following </w:t>
      </w:r>
      <w:r>
        <w:t>OAT for lesions between 2 cm² and 4 cm² (Biant et al. 2015).</w:t>
      </w:r>
    </w:p>
    <w:p w14:paraId="664A6EAC" w14:textId="5017A425" w:rsidR="00AD7FA5" w:rsidRDefault="007046DE" w:rsidP="00154A13">
      <w:pPr>
        <w:pStyle w:val="Caption"/>
      </w:pPr>
      <w:bookmarkStart w:id="7" w:name="_Ref161915370"/>
      <w:r>
        <w:t xml:space="preserve">Table </w:t>
      </w:r>
      <w:r>
        <w:fldChar w:fldCharType="begin"/>
      </w:r>
      <w:r>
        <w:instrText xml:space="preserve"> SEQ Table \* ARABIC </w:instrText>
      </w:r>
      <w:r>
        <w:fldChar w:fldCharType="separate"/>
      </w:r>
      <w:r w:rsidR="00E602A3">
        <w:rPr>
          <w:noProof/>
        </w:rPr>
        <w:t>5</w:t>
      </w:r>
      <w:r>
        <w:fldChar w:fldCharType="end"/>
      </w:r>
      <w:bookmarkEnd w:id="7"/>
      <w:r>
        <w:tab/>
      </w:r>
      <w:r w:rsidR="00FF2966" w:rsidRPr="00D917D5">
        <w:t>Consensus recommendations for knee cartilage repair or replacement</w:t>
      </w:r>
      <w:r w:rsidR="00FF2966">
        <w:t xml:space="preserve"> from UK Consensus Paper</w:t>
      </w:r>
    </w:p>
    <w:tbl>
      <w:tblPr>
        <w:tblStyle w:val="TableGrid"/>
        <w:tblW w:w="5000" w:type="pct"/>
        <w:tblLook w:val="04A0" w:firstRow="1" w:lastRow="0" w:firstColumn="1" w:lastColumn="0" w:noHBand="0" w:noVBand="1"/>
        <w:tblCaption w:val="Consensus recommendations for knee cartilage repair or replacement from UK Consensus Paper"/>
        <w:tblDescription w:val="Table depicting cartilage surgery options appropriate for various sizes of knee chondral lesions."/>
      </w:tblPr>
      <w:tblGrid>
        <w:gridCol w:w="4530"/>
        <w:gridCol w:w="1681"/>
        <w:gridCol w:w="1681"/>
        <w:gridCol w:w="1679"/>
      </w:tblGrid>
      <w:tr w:rsidR="00FD7D5C" w14:paraId="6BE4DA3B" w14:textId="77777777" w:rsidTr="00A47B0B">
        <w:tc>
          <w:tcPr>
            <w:tcW w:w="2367" w:type="pct"/>
          </w:tcPr>
          <w:p w14:paraId="7C4E1F80" w14:textId="04928EED" w:rsidR="00E315FE" w:rsidRDefault="007046DE">
            <w:pPr>
              <w:pStyle w:val="TableHeading"/>
            </w:pPr>
            <w:r>
              <w:t>Cartilage surgery options</w:t>
            </w:r>
          </w:p>
        </w:tc>
        <w:tc>
          <w:tcPr>
            <w:tcW w:w="878" w:type="pct"/>
          </w:tcPr>
          <w:p w14:paraId="4155E3C7" w14:textId="5F1AC287" w:rsidR="00E315FE" w:rsidRDefault="007046DE" w:rsidP="00154A13">
            <w:pPr>
              <w:pStyle w:val="TableHeading"/>
              <w:jc w:val="center"/>
            </w:pPr>
            <w:r>
              <w:t>&lt; 2 cm²</w:t>
            </w:r>
          </w:p>
        </w:tc>
        <w:tc>
          <w:tcPr>
            <w:tcW w:w="878" w:type="pct"/>
          </w:tcPr>
          <w:p w14:paraId="021759AD" w14:textId="2231210F" w:rsidR="00E315FE" w:rsidRDefault="007046DE" w:rsidP="00154A13">
            <w:pPr>
              <w:pStyle w:val="TableHeading"/>
              <w:jc w:val="center"/>
            </w:pPr>
            <w:r>
              <w:t>2 cm² to 4 cm²</w:t>
            </w:r>
          </w:p>
        </w:tc>
        <w:tc>
          <w:tcPr>
            <w:tcW w:w="878" w:type="pct"/>
          </w:tcPr>
          <w:p w14:paraId="3DEF5DF6" w14:textId="45581CBC" w:rsidR="00E315FE" w:rsidRDefault="007046DE" w:rsidP="00154A13">
            <w:pPr>
              <w:pStyle w:val="TableHeading"/>
              <w:jc w:val="center"/>
            </w:pPr>
            <w:r>
              <w:t>&gt; 4 cm²</w:t>
            </w:r>
          </w:p>
        </w:tc>
      </w:tr>
      <w:tr w:rsidR="00FD7D5C" w14:paraId="16A77EEB" w14:textId="77777777" w:rsidTr="00A47B0B">
        <w:tc>
          <w:tcPr>
            <w:tcW w:w="2367" w:type="pct"/>
          </w:tcPr>
          <w:p w14:paraId="3E2FBF0F" w14:textId="6F62F0B0" w:rsidR="00E315FE" w:rsidRPr="00D917D5" w:rsidRDefault="007046DE">
            <w:pPr>
              <w:pStyle w:val="TableText0"/>
            </w:pPr>
            <w:r>
              <w:t>Bone marrow stimulating techniques (e.g. microfracture)</w:t>
            </w:r>
          </w:p>
        </w:tc>
        <w:tc>
          <w:tcPr>
            <w:tcW w:w="878" w:type="pct"/>
          </w:tcPr>
          <w:p w14:paraId="7C8633FB" w14:textId="2F910917" w:rsidR="00E315FE" w:rsidRDefault="007046DE" w:rsidP="00154A13">
            <w:pPr>
              <w:pStyle w:val="TableText0"/>
              <w:jc w:val="center"/>
            </w:pPr>
            <w:r>
              <w:rPr>
                <w:rFonts w:ascii="Wingdings" w:eastAsia="Wingdings" w:hAnsi="Wingdings" w:cs="Wingdings"/>
              </w:rPr>
              <w:t>ü</w:t>
            </w:r>
          </w:p>
        </w:tc>
        <w:tc>
          <w:tcPr>
            <w:tcW w:w="878" w:type="pct"/>
          </w:tcPr>
          <w:p w14:paraId="0DB4B416" w14:textId="072E3132" w:rsidR="00E315FE" w:rsidRDefault="007046DE" w:rsidP="00154A13">
            <w:pPr>
              <w:pStyle w:val="TableText0"/>
              <w:jc w:val="center"/>
            </w:pPr>
            <w:r>
              <w:rPr>
                <w:rFonts w:ascii="Wingdings" w:eastAsia="Wingdings" w:hAnsi="Wingdings" w:cs="Wingdings"/>
              </w:rPr>
              <w:t>ü</w:t>
            </w:r>
          </w:p>
        </w:tc>
        <w:tc>
          <w:tcPr>
            <w:tcW w:w="878" w:type="pct"/>
          </w:tcPr>
          <w:p w14:paraId="69E280ED" w14:textId="77777777" w:rsidR="00E315FE" w:rsidRDefault="00E315FE" w:rsidP="00154A13">
            <w:pPr>
              <w:pStyle w:val="TableText0"/>
              <w:jc w:val="center"/>
            </w:pPr>
          </w:p>
        </w:tc>
      </w:tr>
      <w:tr w:rsidR="00FD7D5C" w14:paraId="713A90EE" w14:textId="77777777" w:rsidTr="00A47B0B">
        <w:tc>
          <w:tcPr>
            <w:tcW w:w="2367" w:type="pct"/>
          </w:tcPr>
          <w:p w14:paraId="2D74167F" w14:textId="28E09968" w:rsidR="00E315FE" w:rsidRPr="00D917D5" w:rsidRDefault="007046DE" w:rsidP="00B8721E">
            <w:pPr>
              <w:pStyle w:val="TableText0"/>
            </w:pPr>
            <w:r>
              <w:t>Osteochondral grafting (i.e. mosaicplasty, OAT)</w:t>
            </w:r>
          </w:p>
        </w:tc>
        <w:tc>
          <w:tcPr>
            <w:tcW w:w="878" w:type="pct"/>
          </w:tcPr>
          <w:p w14:paraId="186C791B" w14:textId="5F3375B8" w:rsidR="00E315FE" w:rsidRDefault="007046DE" w:rsidP="00154A13">
            <w:pPr>
              <w:pStyle w:val="TableText0"/>
              <w:jc w:val="center"/>
            </w:pPr>
            <w:r>
              <w:rPr>
                <w:rFonts w:ascii="Wingdings" w:eastAsia="Wingdings" w:hAnsi="Wingdings" w:cs="Wingdings"/>
              </w:rPr>
              <w:t>ü</w:t>
            </w:r>
          </w:p>
        </w:tc>
        <w:tc>
          <w:tcPr>
            <w:tcW w:w="878" w:type="pct"/>
          </w:tcPr>
          <w:p w14:paraId="0F9CBEC6" w14:textId="3A60FC97" w:rsidR="00E315FE" w:rsidRDefault="007046DE" w:rsidP="00154A13">
            <w:pPr>
              <w:pStyle w:val="TableText0"/>
              <w:jc w:val="center"/>
            </w:pPr>
            <w:r>
              <w:rPr>
                <w:rFonts w:ascii="Wingdings" w:eastAsia="Wingdings" w:hAnsi="Wingdings" w:cs="Wingdings"/>
              </w:rPr>
              <w:t>ü</w:t>
            </w:r>
          </w:p>
        </w:tc>
        <w:tc>
          <w:tcPr>
            <w:tcW w:w="878" w:type="pct"/>
          </w:tcPr>
          <w:p w14:paraId="455646C8" w14:textId="77777777" w:rsidR="00E315FE" w:rsidRDefault="00E315FE" w:rsidP="00154A13">
            <w:pPr>
              <w:pStyle w:val="TableText0"/>
              <w:jc w:val="center"/>
            </w:pPr>
          </w:p>
        </w:tc>
      </w:tr>
      <w:tr w:rsidR="00FD7D5C" w14:paraId="722AF66C" w14:textId="77777777" w:rsidTr="00A47B0B">
        <w:tc>
          <w:tcPr>
            <w:tcW w:w="2367" w:type="pct"/>
          </w:tcPr>
          <w:p w14:paraId="3833CCC6" w14:textId="17560F63" w:rsidR="00E315FE" w:rsidRPr="00CE2C9C" w:rsidRDefault="007046DE">
            <w:pPr>
              <w:pStyle w:val="TableText0"/>
            </w:pPr>
            <w:r w:rsidRPr="00CE2C9C">
              <w:t>Cell therapy (i.e. ACI)</w:t>
            </w:r>
          </w:p>
        </w:tc>
        <w:tc>
          <w:tcPr>
            <w:tcW w:w="878" w:type="pct"/>
          </w:tcPr>
          <w:p w14:paraId="376260AE" w14:textId="77777777" w:rsidR="00E315FE" w:rsidRPr="00D917D5" w:rsidRDefault="00E315FE" w:rsidP="00154A13">
            <w:pPr>
              <w:pStyle w:val="TableText0"/>
              <w:jc w:val="center"/>
            </w:pPr>
          </w:p>
        </w:tc>
        <w:tc>
          <w:tcPr>
            <w:tcW w:w="878" w:type="pct"/>
          </w:tcPr>
          <w:p w14:paraId="442872B5" w14:textId="7A7DDA2F" w:rsidR="00E315FE" w:rsidRPr="00D917D5" w:rsidRDefault="007046DE" w:rsidP="00154A13">
            <w:pPr>
              <w:pStyle w:val="TableText0"/>
              <w:jc w:val="center"/>
            </w:pPr>
            <w:r>
              <w:rPr>
                <w:rFonts w:ascii="Wingdings" w:eastAsia="Wingdings" w:hAnsi="Wingdings" w:cs="Wingdings"/>
              </w:rPr>
              <w:t>ü</w:t>
            </w:r>
          </w:p>
        </w:tc>
        <w:tc>
          <w:tcPr>
            <w:tcW w:w="878" w:type="pct"/>
          </w:tcPr>
          <w:p w14:paraId="31D50BF2" w14:textId="2FFF1757" w:rsidR="00E315FE" w:rsidRPr="00D917D5" w:rsidRDefault="007046DE" w:rsidP="00154A13">
            <w:pPr>
              <w:pStyle w:val="TableText0"/>
              <w:jc w:val="center"/>
            </w:pPr>
            <w:r>
              <w:rPr>
                <w:rFonts w:ascii="Wingdings" w:eastAsia="Wingdings" w:hAnsi="Wingdings" w:cs="Wingdings"/>
              </w:rPr>
              <w:t>ü</w:t>
            </w:r>
          </w:p>
        </w:tc>
      </w:tr>
      <w:tr w:rsidR="00FD7D5C" w14:paraId="52D08624" w14:textId="77777777" w:rsidTr="00A47B0B">
        <w:tc>
          <w:tcPr>
            <w:tcW w:w="2367" w:type="pct"/>
          </w:tcPr>
          <w:p w14:paraId="24C1344F" w14:textId="77777777" w:rsidR="002654C6" w:rsidRDefault="007046DE" w:rsidP="00B8721E">
            <w:pPr>
              <w:pStyle w:val="TableText0"/>
            </w:pPr>
            <w:r>
              <w:t>Osteochondral allograft transplantation</w:t>
            </w:r>
          </w:p>
        </w:tc>
        <w:tc>
          <w:tcPr>
            <w:tcW w:w="878" w:type="pct"/>
          </w:tcPr>
          <w:p w14:paraId="230087BA" w14:textId="77777777" w:rsidR="002654C6" w:rsidRDefault="002654C6" w:rsidP="00D9095D">
            <w:pPr>
              <w:pStyle w:val="TableText0"/>
              <w:jc w:val="center"/>
            </w:pPr>
          </w:p>
        </w:tc>
        <w:tc>
          <w:tcPr>
            <w:tcW w:w="878" w:type="pct"/>
          </w:tcPr>
          <w:p w14:paraId="6663B9EB" w14:textId="77777777" w:rsidR="002654C6" w:rsidRDefault="002654C6" w:rsidP="00D9095D">
            <w:pPr>
              <w:pStyle w:val="TableText0"/>
              <w:jc w:val="center"/>
            </w:pPr>
          </w:p>
        </w:tc>
        <w:tc>
          <w:tcPr>
            <w:tcW w:w="878" w:type="pct"/>
          </w:tcPr>
          <w:p w14:paraId="1AE053ED" w14:textId="77777777" w:rsidR="002654C6" w:rsidRDefault="007046DE" w:rsidP="00D9095D">
            <w:pPr>
              <w:pStyle w:val="TableText0"/>
              <w:jc w:val="center"/>
            </w:pPr>
            <w:r>
              <w:rPr>
                <w:rFonts w:ascii="Wingdings" w:eastAsia="Wingdings" w:hAnsi="Wingdings" w:cs="Wingdings"/>
              </w:rPr>
              <w:t>ü</w:t>
            </w:r>
          </w:p>
        </w:tc>
      </w:tr>
    </w:tbl>
    <w:p w14:paraId="6AB68D4E" w14:textId="3D5C086A" w:rsidR="00C946D2" w:rsidRDefault="007046DE" w:rsidP="007F0B0E">
      <w:pPr>
        <w:pStyle w:val="Tablenotes"/>
        <w:spacing w:after="0"/>
      </w:pPr>
      <w:r>
        <w:t>OAT = osteochondral autograft</w:t>
      </w:r>
      <w:r w:rsidR="004C02DB">
        <w:t xml:space="preserve"> transplantation.</w:t>
      </w:r>
    </w:p>
    <w:p w14:paraId="7E8BABB8" w14:textId="77777777" w:rsidR="007F0B0E" w:rsidRDefault="007046DE" w:rsidP="00DB288E">
      <w:pPr>
        <w:pStyle w:val="Tablenotes"/>
        <w:spacing w:after="240"/>
      </w:pPr>
      <w:r>
        <w:t xml:space="preserve">Source: </w:t>
      </w:r>
      <w:r w:rsidR="00FF2966">
        <w:t>Ad</w:t>
      </w:r>
      <w:r w:rsidR="00592645">
        <w:t>apted from Biant et al. 2015</w:t>
      </w:r>
    </w:p>
    <w:p w14:paraId="1587A322" w14:textId="40F0581D" w:rsidR="0042207D" w:rsidRDefault="007046DE" w:rsidP="0042207D">
      <w:r>
        <w:t>As it is not recommended for lesions above 4 </w:t>
      </w:r>
      <w:r w:rsidRPr="00AE37DC">
        <w:t>cm²</w:t>
      </w:r>
      <w:r>
        <w:t xml:space="preserve">, </w:t>
      </w:r>
      <w:r w:rsidR="006325E6">
        <w:t>that the assessment group suggested that</w:t>
      </w:r>
      <w:r w:rsidR="002F424F">
        <w:t xml:space="preserve"> </w:t>
      </w:r>
      <w:r>
        <w:t xml:space="preserve">microfracture may not be an appropriate comparator for the entire proposed population </w:t>
      </w:r>
      <w:r w:rsidR="00C56427">
        <w:t xml:space="preserve">of </w:t>
      </w:r>
      <w:r w:rsidR="00B1565C">
        <w:t xml:space="preserve">up to </w:t>
      </w:r>
      <w:r>
        <w:rPr>
          <w:szCs w:val="20"/>
        </w:rPr>
        <w:t>20 </w:t>
      </w:r>
      <w:r w:rsidRPr="00C3582E">
        <w:rPr>
          <w:szCs w:val="20"/>
        </w:rPr>
        <w:t>cm²</w:t>
      </w:r>
      <w:r>
        <w:t xml:space="preserve">. Consistent with </w:t>
      </w:r>
      <w:r>
        <w:lastRenderedPageBreak/>
        <w:t>this, t</w:t>
      </w:r>
      <w:r w:rsidRPr="005F074A">
        <w:t xml:space="preserve">he applicant </w:t>
      </w:r>
      <w:r>
        <w:t>stated</w:t>
      </w:r>
      <w:r w:rsidRPr="005F074A">
        <w:t xml:space="preserve"> </w:t>
      </w:r>
      <w:r>
        <w:t xml:space="preserve">that </w:t>
      </w:r>
      <w:r w:rsidR="00222954">
        <w:t>microfracture is indicated for lesions &lt; 4 cm²</w:t>
      </w:r>
      <w:r w:rsidR="005F06D2">
        <w:t xml:space="preserve"> in size,</w:t>
      </w:r>
      <w:r>
        <w:rPr>
          <w:rStyle w:val="FootnoteReference"/>
        </w:rPr>
        <w:footnoteReference w:id="6"/>
      </w:r>
      <w:r w:rsidR="00222954">
        <w:t xml:space="preserve"> and that </w:t>
      </w:r>
      <w:r>
        <w:t xml:space="preserve">in clinical practice, </w:t>
      </w:r>
      <w:r w:rsidRPr="005F074A">
        <w:t>microfracture is very reluctantly used in large lesions</w:t>
      </w:r>
      <w:r w:rsidR="00222954">
        <w:t>.</w:t>
      </w:r>
      <w:r>
        <w:rPr>
          <w:rStyle w:val="FootnoteReference"/>
        </w:rPr>
        <w:footnoteReference w:id="7"/>
      </w:r>
    </w:p>
    <w:p w14:paraId="793C92FB" w14:textId="2B415DAC" w:rsidR="00BE2AFB" w:rsidRDefault="007046DE" w:rsidP="00D7351B">
      <w:pPr>
        <w:spacing w:after="120"/>
      </w:pPr>
      <w:r>
        <w:t>Stratifying the population</w:t>
      </w:r>
      <w:r w:rsidR="00262847">
        <w:t xml:space="preserve"> according to the UK Consensus Paper</w:t>
      </w:r>
      <w:r>
        <w:t xml:space="preserve"> </w:t>
      </w:r>
      <w:r w:rsidR="00262847">
        <w:t xml:space="preserve">recommendations </w:t>
      </w:r>
      <w:r w:rsidR="00447935">
        <w:t xml:space="preserve">would allow for different comparators for </w:t>
      </w:r>
      <w:r w:rsidR="00C87392">
        <w:t>lesions</w:t>
      </w:r>
      <w:r w:rsidR="00994F96">
        <w:t xml:space="preserve"> of different size</w:t>
      </w:r>
      <w:r w:rsidR="00881774">
        <w:t>. The assessment group proposes</w:t>
      </w:r>
      <w:r>
        <w:t>:</w:t>
      </w:r>
    </w:p>
    <w:p w14:paraId="49786021" w14:textId="0517DB04" w:rsidR="00BE2AFB" w:rsidRDefault="007046DE" w:rsidP="00BE2AFB">
      <w:pPr>
        <w:pStyle w:val="ListParagraph"/>
        <w:numPr>
          <w:ilvl w:val="0"/>
          <w:numId w:val="24"/>
        </w:numPr>
      </w:pPr>
      <w:r>
        <w:rPr>
          <w:rFonts w:cs="Calibri"/>
          <w:szCs w:val="20"/>
        </w:rPr>
        <w:t xml:space="preserve">microfracture </w:t>
      </w:r>
      <w:r w:rsidR="005D221F">
        <w:rPr>
          <w:rFonts w:cs="Calibri"/>
          <w:szCs w:val="20"/>
        </w:rPr>
        <w:t>(main comparator)</w:t>
      </w:r>
      <w:r w:rsidR="008E6D8A">
        <w:rPr>
          <w:rFonts w:cs="Calibri"/>
          <w:szCs w:val="20"/>
        </w:rPr>
        <w:t xml:space="preserve"> or conservative treatment </w:t>
      </w:r>
      <w:r>
        <w:rPr>
          <w:rFonts w:cs="Calibri"/>
          <w:szCs w:val="20"/>
        </w:rPr>
        <w:t xml:space="preserve">for </w:t>
      </w:r>
      <w:r w:rsidR="001914D8" w:rsidRPr="00BE2AFB">
        <w:rPr>
          <w:rFonts w:cs="Calibri"/>
          <w:szCs w:val="20"/>
        </w:rPr>
        <w:t>≥</w:t>
      </w:r>
      <w:r w:rsidR="001914D8" w:rsidRPr="00BE2AFB">
        <w:rPr>
          <w:szCs w:val="20"/>
        </w:rPr>
        <w:t> 2 cm²</w:t>
      </w:r>
      <w:r w:rsidR="00CA7B60" w:rsidRPr="00BE2AFB">
        <w:rPr>
          <w:szCs w:val="20"/>
        </w:rPr>
        <w:t xml:space="preserve"> and</w:t>
      </w:r>
      <w:r w:rsidR="001914D8" w:rsidRPr="00BE2AFB">
        <w:rPr>
          <w:szCs w:val="20"/>
        </w:rPr>
        <w:t xml:space="preserve"> </w:t>
      </w:r>
      <w:r w:rsidR="00F52CB3" w:rsidRPr="00BE2AFB">
        <w:rPr>
          <w:rFonts w:cs="Calibri"/>
          <w:szCs w:val="20"/>
        </w:rPr>
        <w:t>≤</w:t>
      </w:r>
      <w:r w:rsidR="00F52CB3" w:rsidRPr="00BE2AFB">
        <w:rPr>
          <w:szCs w:val="20"/>
        </w:rPr>
        <w:t> 4 cm²</w:t>
      </w:r>
      <w:r w:rsidR="00CA7B60" w:rsidRPr="00BE2AFB">
        <w:rPr>
          <w:szCs w:val="20"/>
        </w:rPr>
        <w:t>,</w:t>
      </w:r>
      <w:r w:rsidR="001914D8">
        <w:t xml:space="preserve"> and </w:t>
      </w:r>
    </w:p>
    <w:p w14:paraId="7A22FD5C" w14:textId="62D0AAB8" w:rsidR="00BE2AFB" w:rsidRDefault="007046DE" w:rsidP="00BE2AFB">
      <w:pPr>
        <w:pStyle w:val="ListParagraph"/>
        <w:numPr>
          <w:ilvl w:val="0"/>
          <w:numId w:val="24"/>
        </w:numPr>
      </w:pPr>
      <w:r>
        <w:t>conservative</w:t>
      </w:r>
      <w:r w:rsidR="00250CCE">
        <w:t xml:space="preserve"> treatment for</w:t>
      </w:r>
      <w:r>
        <w:t xml:space="preserve"> </w:t>
      </w:r>
      <w:r w:rsidR="001914D8">
        <w:t>&gt; 4 cm² and</w:t>
      </w:r>
      <w:r w:rsidR="00CA7B60">
        <w:t xml:space="preserve"> &lt; </w:t>
      </w:r>
      <w:r w:rsidR="001914D8">
        <w:t>20 cm²</w:t>
      </w:r>
      <w:r w:rsidR="00A27BBC">
        <w:t>.</w:t>
      </w:r>
      <w:r w:rsidR="006550F0">
        <w:t xml:space="preserve"> </w:t>
      </w:r>
    </w:p>
    <w:p w14:paraId="6DD593E4" w14:textId="442A6E05" w:rsidR="006550F0" w:rsidRDefault="007046DE" w:rsidP="00BE2AFB">
      <w:r>
        <w:t>It should be noted the</w:t>
      </w:r>
      <w:r w:rsidR="00A27BBC">
        <w:t xml:space="preserve"> </w:t>
      </w:r>
      <w:r>
        <w:t xml:space="preserve">SUMMIT </w:t>
      </w:r>
      <w:r w:rsidR="000F24F8">
        <w:t>RCT, which provides the primary clinical evidence</w:t>
      </w:r>
      <w:r w:rsidR="007E3BA3">
        <w:t>,</w:t>
      </w:r>
      <w:r>
        <w:t xml:space="preserve"> </w:t>
      </w:r>
      <w:r w:rsidR="00F34772">
        <w:t xml:space="preserve">only </w:t>
      </w:r>
      <w:r>
        <w:t>included</w:t>
      </w:r>
      <w:r w:rsidR="007D2033">
        <w:t xml:space="preserve"> patients with</w:t>
      </w:r>
      <w:r>
        <w:t xml:space="preserve"> lesions</w:t>
      </w:r>
      <w:r w:rsidR="007E3BA3">
        <w:t xml:space="preserve"> </w:t>
      </w:r>
      <w:r w:rsidRPr="00BE2AFB">
        <w:rPr>
          <w:rFonts w:cs="Calibri"/>
        </w:rPr>
        <w:t>≥</w:t>
      </w:r>
      <w:r>
        <w:t> 3 cm²</w:t>
      </w:r>
      <w:r w:rsidR="00072CC3">
        <w:t>.</w:t>
      </w:r>
      <w:r>
        <w:t xml:space="preserve"> </w:t>
      </w:r>
      <w:r w:rsidR="00072CC3">
        <w:t>The</w:t>
      </w:r>
      <w:r>
        <w:t xml:space="preserve"> mean </w:t>
      </w:r>
      <w:r w:rsidR="00072CC3">
        <w:t xml:space="preserve">lesion </w:t>
      </w:r>
      <w:r>
        <w:t>size</w:t>
      </w:r>
      <w:r w:rsidR="00072CC3">
        <w:t xml:space="preserve"> across the </w:t>
      </w:r>
      <w:r w:rsidR="007B2A8E">
        <w:t>RCT</w:t>
      </w:r>
      <w:r w:rsidR="00072CC3">
        <w:t xml:space="preserve"> was</w:t>
      </w:r>
      <w:r>
        <w:t xml:space="preserve"> 4.</w:t>
      </w:r>
      <w:r w:rsidR="000F24F8">
        <w:t>8</w:t>
      </w:r>
      <w:r>
        <w:t> cm²</w:t>
      </w:r>
      <w:r w:rsidR="00072CC3">
        <w:t xml:space="preserve"> (</w:t>
      </w:r>
      <w:r w:rsidR="00792AFA">
        <w:t>range, 3-20 cm²</w:t>
      </w:r>
      <w:r w:rsidR="00A2673F">
        <w:t xml:space="preserve">; </w:t>
      </w:r>
      <w:r w:rsidR="00072CC3">
        <w:t>Saris et al. 2014)</w:t>
      </w:r>
      <w:r w:rsidR="00F56431">
        <w:t>,</w:t>
      </w:r>
      <w:r>
        <w:t xml:space="preserve"> and findings were not stratified by lesion size.</w:t>
      </w:r>
      <w:r w:rsidR="00D44C44">
        <w:t xml:space="preserve"> No comparative evidence has been listed by the applicant comparing ACI and microfracture for lesions </w:t>
      </w:r>
      <w:r w:rsidR="000D54C7">
        <w:t xml:space="preserve">between 2 </w:t>
      </w:r>
      <w:r w:rsidR="00D060B0">
        <w:t xml:space="preserve">cm² </w:t>
      </w:r>
      <w:r w:rsidR="000D54C7">
        <w:t>and 3 cm².</w:t>
      </w:r>
    </w:p>
    <w:p w14:paraId="72D568CA" w14:textId="1223EA2D" w:rsidR="009A0183" w:rsidRDefault="007046DE" w:rsidP="002E193A">
      <w:pPr>
        <w:pStyle w:val="Heading4"/>
      </w:pPr>
      <w:r>
        <w:t>Prior advice</w:t>
      </w:r>
      <w:r w:rsidR="001919E8">
        <w:t xml:space="preserve"> </w:t>
      </w:r>
      <w:r w:rsidR="00947B15">
        <w:t>for microfracture</w:t>
      </w:r>
    </w:p>
    <w:p w14:paraId="7770F174" w14:textId="7735FDEA" w:rsidR="00EE6092" w:rsidRPr="00FB56B0" w:rsidRDefault="007046DE" w:rsidP="00E928CB">
      <w:pPr>
        <w:rPr>
          <w:rFonts w:asciiTheme="minorHAnsi" w:hAnsiTheme="minorHAnsi" w:cstheme="minorHAnsi"/>
          <w:szCs w:val="20"/>
        </w:rPr>
      </w:pPr>
      <w:r>
        <w:rPr>
          <w:iCs/>
        </w:rPr>
        <w:t xml:space="preserve">In 2010, </w:t>
      </w:r>
      <w:r w:rsidRPr="00D23071">
        <w:rPr>
          <w:iCs/>
        </w:rPr>
        <w:t xml:space="preserve">expert </w:t>
      </w:r>
      <w:r w:rsidR="00E57B82" w:rsidRPr="00D23071">
        <w:rPr>
          <w:iCs/>
        </w:rPr>
        <w:t xml:space="preserve">clinical advice </w:t>
      </w:r>
      <w:r w:rsidR="00E57B82">
        <w:rPr>
          <w:iCs/>
        </w:rPr>
        <w:t>provided for t</w:t>
      </w:r>
      <w:r w:rsidRPr="00D23071">
        <w:rPr>
          <w:iCs/>
        </w:rPr>
        <w:t xml:space="preserve">he assessment report for </w:t>
      </w:r>
      <w:r w:rsidR="002D4424" w:rsidRPr="00702A22">
        <w:rPr>
          <w:iCs/>
        </w:rPr>
        <w:t xml:space="preserve">matrix-assisted </w:t>
      </w:r>
      <w:r w:rsidRPr="001B1248">
        <w:rPr>
          <w:iCs/>
        </w:rPr>
        <w:t>ACI/ACI</w:t>
      </w:r>
      <w:r w:rsidR="008C1C46">
        <w:rPr>
          <w:iCs/>
        </w:rPr>
        <w:t xml:space="preserve"> (</w:t>
      </w:r>
      <w:r w:rsidR="00A527C4">
        <w:rPr>
          <w:iCs/>
        </w:rPr>
        <w:t xml:space="preserve">MSAC </w:t>
      </w:r>
      <w:r w:rsidR="0038765E">
        <w:rPr>
          <w:iCs/>
        </w:rPr>
        <w:t xml:space="preserve">application </w:t>
      </w:r>
      <w:r w:rsidR="008C1C46">
        <w:t>1140)</w:t>
      </w:r>
      <w:r>
        <w:rPr>
          <w:iCs/>
        </w:rPr>
        <w:t xml:space="preserve"> </w:t>
      </w:r>
      <w:r w:rsidRPr="00D23071">
        <w:rPr>
          <w:iCs/>
        </w:rPr>
        <w:t>suggest</w:t>
      </w:r>
      <w:r w:rsidR="00383D89">
        <w:rPr>
          <w:iCs/>
        </w:rPr>
        <w:t>ed</w:t>
      </w:r>
      <w:r w:rsidRPr="00D23071">
        <w:rPr>
          <w:iCs/>
        </w:rPr>
        <w:t xml:space="preserve"> the decision to use one procedure over another is </w:t>
      </w:r>
      <w:r w:rsidR="00D150E5">
        <w:rPr>
          <w:iCs/>
        </w:rPr>
        <w:t>not always based on lesion size (</w:t>
      </w:r>
      <w:r w:rsidR="005318A5">
        <w:rPr>
          <w:iCs/>
        </w:rPr>
        <w:t>p.12</w:t>
      </w:r>
      <w:r w:rsidR="00D4033C">
        <w:rPr>
          <w:iCs/>
        </w:rPr>
        <w:t>) and</w:t>
      </w:r>
      <w:r w:rsidR="00383D89">
        <w:rPr>
          <w:iCs/>
        </w:rPr>
        <w:t xml:space="preserve"> </w:t>
      </w:r>
      <w:r w:rsidR="007F4358">
        <w:rPr>
          <w:iCs/>
        </w:rPr>
        <w:t>is influenced by</w:t>
      </w:r>
      <w:r w:rsidRPr="00D23071">
        <w:rPr>
          <w:iCs/>
        </w:rPr>
        <w:t xml:space="preserve"> clinician experience</w:t>
      </w:r>
      <w:r>
        <w:rPr>
          <w:iCs/>
        </w:rPr>
        <w:t xml:space="preserve"> (p.13). The </w:t>
      </w:r>
      <w:r w:rsidRPr="00D23071">
        <w:rPr>
          <w:iCs/>
        </w:rPr>
        <w:t>population was not stratified by lesion size</w:t>
      </w:r>
      <w:r>
        <w:rPr>
          <w:iCs/>
        </w:rPr>
        <w:t xml:space="preserve"> in th</w:t>
      </w:r>
      <w:r w:rsidR="007D146B">
        <w:rPr>
          <w:iCs/>
        </w:rPr>
        <w:t>e</w:t>
      </w:r>
      <w:r>
        <w:rPr>
          <w:iCs/>
        </w:rPr>
        <w:t xml:space="preserve"> assessment report.</w:t>
      </w:r>
      <w:r w:rsidR="00746B06">
        <w:rPr>
          <w:iCs/>
        </w:rPr>
        <w:t xml:space="preserve"> </w:t>
      </w:r>
      <w:r w:rsidR="002C25D8">
        <w:t>MSAC found that if</w:t>
      </w:r>
      <w:r w:rsidR="002C25D8">
        <w:rPr>
          <w:spacing w:val="4"/>
        </w:rPr>
        <w:t xml:space="preserve"> </w:t>
      </w:r>
      <w:r w:rsidR="002D4424">
        <w:rPr>
          <w:spacing w:val="4"/>
        </w:rPr>
        <w:t>matrix</w:t>
      </w:r>
      <w:r w:rsidR="002D4424">
        <w:t xml:space="preserve">-assisted </w:t>
      </w:r>
      <w:r w:rsidR="002C25D8">
        <w:t>ACI/ACI</w:t>
      </w:r>
      <w:r w:rsidR="002C25D8">
        <w:rPr>
          <w:spacing w:val="21"/>
        </w:rPr>
        <w:t xml:space="preserve"> </w:t>
      </w:r>
      <w:r w:rsidR="002C25D8">
        <w:t>were</w:t>
      </w:r>
      <w:r w:rsidR="002C25D8">
        <w:rPr>
          <w:spacing w:val="10"/>
        </w:rPr>
        <w:t xml:space="preserve"> </w:t>
      </w:r>
      <w:r w:rsidR="002C25D8">
        <w:t>li</w:t>
      </w:r>
      <w:r w:rsidR="002C25D8">
        <w:rPr>
          <w:spacing w:val="1"/>
        </w:rPr>
        <w:t>s</w:t>
      </w:r>
      <w:r w:rsidR="002C25D8">
        <w:t>ted,</w:t>
      </w:r>
      <w:r w:rsidR="002C25D8">
        <w:rPr>
          <w:spacing w:val="12"/>
        </w:rPr>
        <w:t xml:space="preserve"> </w:t>
      </w:r>
      <w:r w:rsidR="002C25D8">
        <w:t>it</w:t>
      </w:r>
      <w:r w:rsidR="002C25D8">
        <w:rPr>
          <w:spacing w:val="3"/>
        </w:rPr>
        <w:t xml:space="preserve"> </w:t>
      </w:r>
      <w:r w:rsidR="002C25D8">
        <w:t>would</w:t>
      </w:r>
      <w:r w:rsidR="002C25D8">
        <w:rPr>
          <w:spacing w:val="12"/>
        </w:rPr>
        <w:t xml:space="preserve"> </w:t>
      </w:r>
      <w:r w:rsidR="002C25D8">
        <w:rPr>
          <w:spacing w:val="2"/>
        </w:rPr>
        <w:t>s</w:t>
      </w:r>
      <w:r w:rsidR="002C25D8">
        <w:t>ubstitu</w:t>
      </w:r>
      <w:r w:rsidR="002C25D8">
        <w:rPr>
          <w:spacing w:val="1"/>
        </w:rPr>
        <w:t>t</w:t>
      </w:r>
      <w:r w:rsidR="002C25D8">
        <w:t>e</w:t>
      </w:r>
      <w:r w:rsidR="002C25D8">
        <w:rPr>
          <w:spacing w:val="18"/>
        </w:rPr>
        <w:t xml:space="preserve"> </w:t>
      </w:r>
      <w:r w:rsidR="002C25D8">
        <w:t>for</w:t>
      </w:r>
      <w:r w:rsidR="002C25D8">
        <w:rPr>
          <w:spacing w:val="6"/>
        </w:rPr>
        <w:t xml:space="preserve"> </w:t>
      </w:r>
      <w:r w:rsidR="002C25D8">
        <w:t>s</w:t>
      </w:r>
      <w:r w:rsidR="002C25D8">
        <w:rPr>
          <w:spacing w:val="1"/>
        </w:rPr>
        <w:t>o</w:t>
      </w:r>
      <w:r w:rsidR="002C25D8">
        <w:rPr>
          <w:spacing w:val="-3"/>
        </w:rPr>
        <w:t>m</w:t>
      </w:r>
      <w:r w:rsidR="002C25D8">
        <w:t>e</w:t>
      </w:r>
      <w:r w:rsidR="002C25D8">
        <w:rPr>
          <w:spacing w:val="12"/>
        </w:rPr>
        <w:t xml:space="preserve"> </w:t>
      </w:r>
      <w:r w:rsidR="002C25D8">
        <w:t>ins</w:t>
      </w:r>
      <w:r w:rsidR="002C25D8">
        <w:rPr>
          <w:spacing w:val="1"/>
        </w:rPr>
        <w:t>t</w:t>
      </w:r>
      <w:r w:rsidR="002C25D8">
        <w:t>a</w:t>
      </w:r>
      <w:r w:rsidR="002C25D8">
        <w:rPr>
          <w:spacing w:val="1"/>
        </w:rPr>
        <w:t>n</w:t>
      </w:r>
      <w:r w:rsidR="002C25D8">
        <w:t>c</w:t>
      </w:r>
      <w:r w:rsidR="002C25D8">
        <w:rPr>
          <w:spacing w:val="-2"/>
        </w:rPr>
        <w:t>e</w:t>
      </w:r>
      <w:r w:rsidR="002C25D8">
        <w:t>s</w:t>
      </w:r>
      <w:r w:rsidR="002C25D8">
        <w:rPr>
          <w:spacing w:val="18"/>
        </w:rPr>
        <w:t xml:space="preserve"> </w:t>
      </w:r>
      <w:r w:rsidR="002C25D8">
        <w:t>of</w:t>
      </w:r>
      <w:r w:rsidR="002C25D8">
        <w:rPr>
          <w:spacing w:val="8"/>
        </w:rPr>
        <w:t xml:space="preserve"> </w:t>
      </w:r>
      <w:r w:rsidR="002C25D8">
        <w:rPr>
          <w:spacing w:val="-2"/>
        </w:rPr>
        <w:t>m</w:t>
      </w:r>
      <w:r w:rsidR="002C25D8">
        <w:rPr>
          <w:spacing w:val="1"/>
        </w:rPr>
        <w:t>i</w:t>
      </w:r>
      <w:r w:rsidR="002C25D8">
        <w:rPr>
          <w:spacing w:val="-2"/>
        </w:rPr>
        <w:t>c</w:t>
      </w:r>
      <w:r w:rsidR="002C25D8">
        <w:t>r</w:t>
      </w:r>
      <w:r w:rsidR="002C25D8">
        <w:rPr>
          <w:spacing w:val="1"/>
        </w:rPr>
        <w:t>o</w:t>
      </w:r>
      <w:r w:rsidR="002C25D8">
        <w:t>fracture</w:t>
      </w:r>
      <w:r w:rsidR="00B810DD">
        <w:rPr>
          <w:spacing w:val="2"/>
        </w:rPr>
        <w:t xml:space="preserve">, and that </w:t>
      </w:r>
      <w:r w:rsidR="00746B06" w:rsidRPr="00746B06">
        <w:rPr>
          <w:iCs/>
        </w:rPr>
        <w:t xml:space="preserve">more evidence is needed to define the patient group likely to derive the most benefit from </w:t>
      </w:r>
      <w:r w:rsidR="00E27196">
        <w:rPr>
          <w:iCs/>
        </w:rPr>
        <w:t xml:space="preserve">matrix-assisted </w:t>
      </w:r>
      <w:r w:rsidR="00746B06" w:rsidRPr="00746B06">
        <w:rPr>
          <w:iCs/>
        </w:rPr>
        <w:t>ACI/ACI</w:t>
      </w:r>
      <w:r w:rsidR="004D1039">
        <w:rPr>
          <w:iCs/>
        </w:rPr>
        <w:t xml:space="preserve"> (</w:t>
      </w:r>
      <w:r w:rsidR="007F744C">
        <w:t xml:space="preserve">PSD </w:t>
      </w:r>
      <w:r w:rsidR="005A2BD6">
        <w:t xml:space="preserve">for </w:t>
      </w:r>
      <w:r w:rsidR="007F744C">
        <w:t>application 1140).</w:t>
      </w:r>
    </w:p>
    <w:p w14:paraId="1AAF3932" w14:textId="405D4866" w:rsidR="00E91D4D" w:rsidRDefault="007046DE" w:rsidP="00AF490F">
      <w:r>
        <w:t xml:space="preserve">In 2012, </w:t>
      </w:r>
      <w:r w:rsidR="196E2DE5">
        <w:t xml:space="preserve">the DAP for </w:t>
      </w:r>
      <w:r w:rsidR="00E27196">
        <w:t xml:space="preserve">matrix-assisted </w:t>
      </w:r>
      <w:r w:rsidR="196E2DE5">
        <w:t>ACI (</w:t>
      </w:r>
      <w:r w:rsidR="10B61656">
        <w:t xml:space="preserve">application </w:t>
      </w:r>
      <w:r w:rsidR="196E2DE5">
        <w:t xml:space="preserve">1273) considered </w:t>
      </w:r>
      <w:r>
        <w:t xml:space="preserve">two </w:t>
      </w:r>
      <w:r w:rsidR="4DFDC9EF">
        <w:t>populations</w:t>
      </w:r>
      <w:r w:rsidR="0073788B">
        <w:t>:</w:t>
      </w:r>
      <w:r w:rsidR="7865811C">
        <w:t xml:space="preserve"> </w:t>
      </w:r>
      <w:r w:rsidR="007D7D23">
        <w:t xml:space="preserve">patients with </w:t>
      </w:r>
      <w:r w:rsidR="7865811C">
        <w:t xml:space="preserve">lesions </w:t>
      </w:r>
      <w:r w:rsidR="382F8A25" w:rsidRPr="45599B1C">
        <w:rPr>
          <w:rFonts w:cs="Calibri"/>
        </w:rPr>
        <w:t>≥</w:t>
      </w:r>
      <w:r w:rsidR="382F8A25">
        <w:t xml:space="preserve"> 2 cm² and </w:t>
      </w:r>
      <w:r w:rsidR="382F8A25" w:rsidRPr="45599B1C">
        <w:rPr>
          <w:rFonts w:cs="Calibri"/>
        </w:rPr>
        <w:t>≤</w:t>
      </w:r>
      <w:r w:rsidR="382F8A25">
        <w:t> 4 cm²</w:t>
      </w:r>
      <w:r w:rsidR="219A3273">
        <w:t xml:space="preserve">, </w:t>
      </w:r>
      <w:r w:rsidR="7865811C">
        <w:t>and</w:t>
      </w:r>
      <w:r w:rsidR="00C929AF">
        <w:t xml:space="preserve"> patients with</w:t>
      </w:r>
      <w:r w:rsidR="7865811C">
        <w:t xml:space="preserve"> lesions &gt; 4 cm²</w:t>
      </w:r>
      <w:r w:rsidR="286B3A52">
        <w:t xml:space="preserve">. Application 1273 proposed that the most appropriate comparator for </w:t>
      </w:r>
      <w:r w:rsidR="00E27196">
        <w:t xml:space="preserve">matrix-assisted </w:t>
      </w:r>
      <w:r w:rsidR="286B3A52">
        <w:t xml:space="preserve">ACI for </w:t>
      </w:r>
      <w:r w:rsidR="007D7D23">
        <w:t xml:space="preserve">patients with </w:t>
      </w:r>
      <w:r w:rsidR="286B3A52">
        <w:t>lesions sized between 2-4 cm</w:t>
      </w:r>
      <w:r w:rsidR="286B3A52" w:rsidRPr="00B72F4F">
        <w:rPr>
          <w:vertAlign w:val="superscript"/>
        </w:rPr>
        <w:t>2</w:t>
      </w:r>
      <w:r w:rsidR="286B3A52">
        <w:t xml:space="preserve"> was microfracture. For </w:t>
      </w:r>
      <w:r w:rsidR="004E4444">
        <w:t xml:space="preserve">patients with </w:t>
      </w:r>
      <w:r w:rsidR="286B3A52">
        <w:t>lesions &gt;</w:t>
      </w:r>
      <w:r w:rsidR="00AF479F">
        <w:t xml:space="preserve"> </w:t>
      </w:r>
      <w:r w:rsidR="286B3A52">
        <w:t>4 cm</w:t>
      </w:r>
      <w:r w:rsidR="286B3A52" w:rsidRPr="00B72F4F">
        <w:rPr>
          <w:vertAlign w:val="superscript"/>
        </w:rPr>
        <w:t>2</w:t>
      </w:r>
      <w:r w:rsidR="286B3A52">
        <w:t xml:space="preserve">, </w:t>
      </w:r>
      <w:r w:rsidR="0FF71A06">
        <w:t xml:space="preserve">application 1273 stated </w:t>
      </w:r>
      <w:r w:rsidR="286B3A52">
        <w:t xml:space="preserve">there </w:t>
      </w:r>
      <w:r w:rsidR="0FF71A06">
        <w:t>was</w:t>
      </w:r>
      <w:r w:rsidR="286B3A52">
        <w:t xml:space="preserve"> no appropriate comparator as there are no treatments that</w:t>
      </w:r>
      <w:r w:rsidR="0FF71A06">
        <w:t xml:space="preserve"> </w:t>
      </w:r>
      <w:r w:rsidR="286B3A52">
        <w:t xml:space="preserve">are deemed effective in larger lesions other than </w:t>
      </w:r>
      <w:r w:rsidR="00E27196">
        <w:t xml:space="preserve">matrix-assisted </w:t>
      </w:r>
      <w:r w:rsidR="286B3A52">
        <w:t>ACI</w:t>
      </w:r>
      <w:r w:rsidR="0FF71A06">
        <w:t>.</w:t>
      </w:r>
      <w:r w:rsidR="7865811C">
        <w:t xml:space="preserve"> </w:t>
      </w:r>
      <w:r w:rsidR="232B789A">
        <w:t xml:space="preserve">In relation to </w:t>
      </w:r>
      <w:r w:rsidR="004E4444">
        <w:t xml:space="preserve">patients with </w:t>
      </w:r>
      <w:r w:rsidR="232B789A">
        <w:t xml:space="preserve">lesions </w:t>
      </w:r>
      <w:r w:rsidR="4F633B79" w:rsidRPr="45599B1C">
        <w:rPr>
          <w:rFonts w:cs="Calibri"/>
        </w:rPr>
        <w:t>≥</w:t>
      </w:r>
      <w:r w:rsidR="4F633B79">
        <w:t xml:space="preserve"> 2 cm² and </w:t>
      </w:r>
      <w:r w:rsidR="4F633B79" w:rsidRPr="45599B1C">
        <w:rPr>
          <w:rFonts w:cs="Calibri"/>
        </w:rPr>
        <w:t>≤</w:t>
      </w:r>
      <w:r w:rsidR="4F633B79">
        <w:t xml:space="preserve"> 4 cm², </w:t>
      </w:r>
      <w:r w:rsidR="02A22E30">
        <w:t xml:space="preserve">at that time </w:t>
      </w:r>
      <w:r w:rsidR="232B789A">
        <w:t xml:space="preserve">PASC noted expert advice that in the absence of </w:t>
      </w:r>
      <w:r w:rsidR="00E27196">
        <w:t xml:space="preserve">matrix-assisted </w:t>
      </w:r>
      <w:r w:rsidR="232B789A">
        <w:t xml:space="preserve">ACI, some clinicians would prefer to manage this patient population by watchful waiting (with </w:t>
      </w:r>
      <w:r w:rsidR="4ABE21EB">
        <w:t>conservative management</w:t>
      </w:r>
      <w:r w:rsidR="232B789A">
        <w:t xml:space="preserve">) rather than </w:t>
      </w:r>
      <w:r w:rsidR="00D4033C">
        <w:t>microfracture and</w:t>
      </w:r>
      <w:r w:rsidR="4F633B79">
        <w:t xml:space="preserve"> determined that the clinical place for </w:t>
      </w:r>
      <w:r w:rsidR="00E27196">
        <w:t xml:space="preserve">matrix-assisted </w:t>
      </w:r>
      <w:r w:rsidR="4F633B79">
        <w:t xml:space="preserve">ACI </w:t>
      </w:r>
      <w:r w:rsidR="7DD74FE2">
        <w:t xml:space="preserve">for this population </w:t>
      </w:r>
      <w:r w:rsidR="4F633B79">
        <w:t xml:space="preserve">was primarily in substitution of </w:t>
      </w:r>
      <w:r w:rsidR="4ABE21EB">
        <w:t xml:space="preserve">conservative management </w:t>
      </w:r>
      <w:r w:rsidR="0BB13C58">
        <w:t>(DAP for</w:t>
      </w:r>
      <w:r w:rsidR="0E707D17">
        <w:t xml:space="preserve"> </w:t>
      </w:r>
      <w:r w:rsidR="004F1A31">
        <w:t xml:space="preserve">application </w:t>
      </w:r>
      <w:r w:rsidR="0BB13C58">
        <w:t>1273, p</w:t>
      </w:r>
      <w:r w:rsidR="4F388E08">
        <w:t>p</w:t>
      </w:r>
      <w:r w:rsidR="0BB13C58">
        <w:t>.15</w:t>
      </w:r>
      <w:r w:rsidR="4F388E08">
        <w:t>-16)</w:t>
      </w:r>
      <w:r w:rsidR="4F633B79">
        <w:t>.</w:t>
      </w:r>
    </w:p>
    <w:p w14:paraId="3013DD4A" w14:textId="430C6B84" w:rsidR="00AC1CB6" w:rsidRDefault="007046DE" w:rsidP="0005201B">
      <w:pPr>
        <w:rPr>
          <w:iCs/>
        </w:rPr>
      </w:pPr>
      <w:r>
        <w:rPr>
          <w:iCs/>
        </w:rPr>
        <w:t xml:space="preserve">For </w:t>
      </w:r>
      <w:r w:rsidR="007D7D23">
        <w:rPr>
          <w:iCs/>
        </w:rPr>
        <w:t xml:space="preserve">patients with </w:t>
      </w:r>
      <w:r>
        <w:rPr>
          <w:iCs/>
        </w:rPr>
        <w:t xml:space="preserve">lesions </w:t>
      </w:r>
      <w:r w:rsidRPr="00D17CB9">
        <w:rPr>
          <w:iCs/>
        </w:rPr>
        <w:t>&gt;</w:t>
      </w:r>
      <w:r w:rsidR="001842A5">
        <w:rPr>
          <w:iCs/>
        </w:rPr>
        <w:t> </w:t>
      </w:r>
      <w:r w:rsidRPr="00D17CB9">
        <w:rPr>
          <w:iCs/>
        </w:rPr>
        <w:t>4</w:t>
      </w:r>
      <w:r w:rsidR="001842A5">
        <w:rPr>
          <w:iCs/>
        </w:rPr>
        <w:t> </w:t>
      </w:r>
      <w:r w:rsidRPr="00D17CB9">
        <w:rPr>
          <w:iCs/>
        </w:rPr>
        <w:t>cm²</w:t>
      </w:r>
      <w:r>
        <w:rPr>
          <w:iCs/>
        </w:rPr>
        <w:t xml:space="preserve">, </w:t>
      </w:r>
      <w:r w:rsidR="00395E28">
        <w:rPr>
          <w:iCs/>
        </w:rPr>
        <w:t xml:space="preserve">at that time </w:t>
      </w:r>
      <w:r w:rsidR="006614C1">
        <w:rPr>
          <w:iCs/>
        </w:rPr>
        <w:t>PASC</w:t>
      </w:r>
      <w:r w:rsidR="00FF1FF5">
        <w:rPr>
          <w:iCs/>
        </w:rPr>
        <w:t xml:space="preserve"> </w:t>
      </w:r>
      <w:r w:rsidR="006614C1">
        <w:rPr>
          <w:iCs/>
        </w:rPr>
        <w:t>not</w:t>
      </w:r>
      <w:r w:rsidR="00483F63">
        <w:rPr>
          <w:iCs/>
        </w:rPr>
        <w:t>ed</w:t>
      </w:r>
      <w:r w:rsidR="006614C1">
        <w:rPr>
          <w:iCs/>
        </w:rPr>
        <w:t xml:space="preserve"> clinical expert advi</w:t>
      </w:r>
      <w:r w:rsidR="00483F63">
        <w:rPr>
          <w:iCs/>
        </w:rPr>
        <w:t>ce that</w:t>
      </w:r>
      <w:r w:rsidR="006614C1">
        <w:rPr>
          <w:iCs/>
        </w:rPr>
        <w:t xml:space="preserve"> microfracture produce</w:t>
      </w:r>
      <w:r w:rsidR="00FF1FF5">
        <w:rPr>
          <w:iCs/>
        </w:rPr>
        <w:t>s</w:t>
      </w:r>
      <w:r w:rsidR="006614C1">
        <w:rPr>
          <w:iCs/>
        </w:rPr>
        <w:t xml:space="preserve"> significantly inferior results in this population. </w:t>
      </w:r>
      <w:r w:rsidR="0089018A">
        <w:rPr>
          <w:iCs/>
        </w:rPr>
        <w:t>The</w:t>
      </w:r>
      <w:r w:rsidR="00AE461A">
        <w:rPr>
          <w:iCs/>
        </w:rPr>
        <w:t xml:space="preserve"> </w:t>
      </w:r>
      <w:r w:rsidR="000660FB">
        <w:rPr>
          <w:iCs/>
        </w:rPr>
        <w:t xml:space="preserve">proposed </w:t>
      </w:r>
      <w:r w:rsidR="0089018A">
        <w:rPr>
          <w:iCs/>
        </w:rPr>
        <w:t xml:space="preserve">comparator </w:t>
      </w:r>
      <w:r w:rsidR="000660FB">
        <w:rPr>
          <w:iCs/>
        </w:rPr>
        <w:t xml:space="preserve">of ‘no treatment’ </w:t>
      </w:r>
      <w:r w:rsidR="0089018A">
        <w:rPr>
          <w:iCs/>
        </w:rPr>
        <w:t xml:space="preserve">was clarified as </w:t>
      </w:r>
      <w:r w:rsidR="0089018A" w:rsidRPr="00CB1BE1">
        <w:rPr>
          <w:iCs/>
        </w:rPr>
        <w:t xml:space="preserve">primarily </w:t>
      </w:r>
      <w:r w:rsidR="00AE461A">
        <w:rPr>
          <w:iCs/>
        </w:rPr>
        <w:t>watchful waitin</w:t>
      </w:r>
      <w:r w:rsidR="0089018A">
        <w:rPr>
          <w:iCs/>
        </w:rPr>
        <w:t>g</w:t>
      </w:r>
      <w:r w:rsidR="00647235" w:rsidRPr="00CB1BE1">
        <w:rPr>
          <w:iCs/>
        </w:rPr>
        <w:t xml:space="preserve"> (conservative or no treatment followed by knee replacement surgery when indicated), or, secondarily, earlier partial or full knee replacement</w:t>
      </w:r>
      <w:r>
        <w:rPr>
          <w:iCs/>
        </w:rPr>
        <w:t xml:space="preserve"> (DAP for </w:t>
      </w:r>
      <w:r w:rsidR="00C30B80">
        <w:rPr>
          <w:iCs/>
        </w:rPr>
        <w:t xml:space="preserve">application </w:t>
      </w:r>
      <w:r>
        <w:rPr>
          <w:iCs/>
        </w:rPr>
        <w:t>1273,</w:t>
      </w:r>
      <w:r w:rsidRPr="00643883">
        <w:rPr>
          <w:iCs/>
        </w:rPr>
        <w:t xml:space="preserve"> </w:t>
      </w:r>
      <w:r>
        <w:rPr>
          <w:iCs/>
        </w:rPr>
        <w:t>p.16)</w:t>
      </w:r>
      <w:r w:rsidR="00647235" w:rsidRPr="00CB1BE1">
        <w:rPr>
          <w:iCs/>
        </w:rPr>
        <w:t>.</w:t>
      </w:r>
      <w:r w:rsidR="00BB69C9" w:rsidRPr="00BB69C9">
        <w:rPr>
          <w:iCs/>
        </w:rPr>
        <w:t xml:space="preserve"> </w:t>
      </w:r>
      <w:r w:rsidR="0023616C">
        <w:rPr>
          <w:iCs/>
        </w:rPr>
        <w:t xml:space="preserve">Therefore, </w:t>
      </w:r>
      <w:r w:rsidR="0005201B">
        <w:rPr>
          <w:iCs/>
        </w:rPr>
        <w:t xml:space="preserve">at that time </w:t>
      </w:r>
      <w:r w:rsidR="0023616C">
        <w:rPr>
          <w:iCs/>
        </w:rPr>
        <w:t xml:space="preserve">PASC </w:t>
      </w:r>
      <w:r w:rsidR="0005201B" w:rsidRPr="0005201B">
        <w:rPr>
          <w:iCs/>
        </w:rPr>
        <w:t xml:space="preserve">resolved that the appropriate comparator for </w:t>
      </w:r>
      <w:r w:rsidR="00E27196">
        <w:rPr>
          <w:iCs/>
        </w:rPr>
        <w:t xml:space="preserve">matrix-assisted </w:t>
      </w:r>
      <w:r w:rsidR="0005201B" w:rsidRPr="0005201B">
        <w:rPr>
          <w:iCs/>
        </w:rPr>
        <w:t>ACI (in patients with lesions sized 2-4 cm</w:t>
      </w:r>
      <w:r w:rsidR="0005201B" w:rsidRPr="00F447D4">
        <w:rPr>
          <w:iCs/>
          <w:vertAlign w:val="superscript"/>
        </w:rPr>
        <w:t>2</w:t>
      </w:r>
      <w:r w:rsidR="0005201B">
        <w:rPr>
          <w:iCs/>
        </w:rPr>
        <w:t xml:space="preserve"> </w:t>
      </w:r>
      <w:r w:rsidR="0005201B" w:rsidRPr="0005201B">
        <w:rPr>
          <w:iCs/>
        </w:rPr>
        <w:t>and patients with lesions sized &gt;4 cm</w:t>
      </w:r>
      <w:r w:rsidR="0005201B" w:rsidRPr="00F447D4">
        <w:rPr>
          <w:iCs/>
          <w:vertAlign w:val="superscript"/>
        </w:rPr>
        <w:t>2</w:t>
      </w:r>
      <w:r w:rsidR="0005201B" w:rsidRPr="0005201B">
        <w:rPr>
          <w:iCs/>
        </w:rPr>
        <w:t>) was primarily watchful waiting (conservative or no treatment</w:t>
      </w:r>
      <w:r w:rsidR="0005201B">
        <w:rPr>
          <w:iCs/>
        </w:rPr>
        <w:t xml:space="preserve"> </w:t>
      </w:r>
      <w:r w:rsidR="0005201B" w:rsidRPr="0005201B">
        <w:rPr>
          <w:iCs/>
        </w:rPr>
        <w:t>followed by knee replacement surgery when indicated) or, secondarily, earlier partial or full knee</w:t>
      </w:r>
      <w:r w:rsidR="0005201B">
        <w:rPr>
          <w:iCs/>
        </w:rPr>
        <w:t xml:space="preserve"> </w:t>
      </w:r>
      <w:r w:rsidR="0005201B" w:rsidRPr="0005201B">
        <w:rPr>
          <w:iCs/>
        </w:rPr>
        <w:t>replacement.</w:t>
      </w:r>
    </w:p>
    <w:p w14:paraId="47729E44" w14:textId="54CC8560" w:rsidR="00A15402" w:rsidRDefault="007046DE" w:rsidP="00022B3D">
      <w:r>
        <w:lastRenderedPageBreak/>
        <w:t xml:space="preserve">The most recent advice from the UK National Institute for Health and Care Excellence (NICE) regarding appropriate comparators for knee cartilage defects are technology </w:t>
      </w:r>
      <w:r w:rsidRPr="00857C33">
        <w:rPr>
          <w:color w:val="000000" w:themeColor="text1"/>
        </w:rPr>
        <w:t xml:space="preserve">appraisals </w:t>
      </w:r>
      <w:hyperlink r:id="rId17" w:tooltip="Link to TA477 on NICE website" w:history="1">
        <w:r w:rsidRPr="00857C33">
          <w:rPr>
            <w:rStyle w:val="Hyperlink"/>
            <w:rFonts w:ascii="Calibri" w:hAnsi="Calibri"/>
            <w:color w:val="000000" w:themeColor="text1"/>
          </w:rPr>
          <w:t>TA477</w:t>
        </w:r>
        <w:r w:rsidR="00DB12A2" w:rsidRPr="00857C33">
          <w:rPr>
            <w:rStyle w:val="Hyperlink"/>
            <w:rFonts w:ascii="Calibri" w:hAnsi="Calibri"/>
            <w:color w:val="000000" w:themeColor="text1"/>
          </w:rPr>
          <w:t xml:space="preserve"> (2017</w:t>
        </w:r>
        <w:r w:rsidRPr="00857C33">
          <w:rPr>
            <w:rStyle w:val="Hyperlink"/>
            <w:rFonts w:ascii="Calibri" w:hAnsi="Calibri"/>
            <w:color w:val="000000" w:themeColor="text1"/>
          </w:rPr>
          <w:t>)</w:t>
        </w:r>
      </w:hyperlink>
      <w:r w:rsidRPr="00857C33">
        <w:rPr>
          <w:color w:val="000000" w:themeColor="text1"/>
        </w:rPr>
        <w:t xml:space="preserve"> and </w:t>
      </w:r>
      <w:hyperlink r:id="rId18" w:tooltip="Link to TA508 on NICE website" w:history="1">
        <w:r w:rsidRPr="00857C33">
          <w:rPr>
            <w:rStyle w:val="Hyperlink"/>
            <w:rFonts w:ascii="Calibri" w:hAnsi="Calibri"/>
            <w:color w:val="000000" w:themeColor="text1"/>
          </w:rPr>
          <w:t>TA508</w:t>
        </w:r>
        <w:r w:rsidR="00A65B6D" w:rsidRPr="00857C33">
          <w:rPr>
            <w:rStyle w:val="Hyperlink"/>
            <w:rFonts w:ascii="Calibri" w:hAnsi="Calibri"/>
            <w:color w:val="000000" w:themeColor="text1"/>
          </w:rPr>
          <w:t xml:space="preserve"> (2018</w:t>
        </w:r>
        <w:r w:rsidRPr="00857C33">
          <w:rPr>
            <w:rStyle w:val="Hyperlink"/>
            <w:rFonts w:ascii="Calibri" w:hAnsi="Calibri"/>
            <w:color w:val="000000" w:themeColor="text1"/>
          </w:rPr>
          <w:t>)</w:t>
        </w:r>
      </w:hyperlink>
      <w:r w:rsidRPr="00857C33">
        <w:rPr>
          <w:color w:val="000000" w:themeColor="text1"/>
        </w:rPr>
        <w:t xml:space="preserve"> for ACI. A number of comparators were listed, depending on defect size, and the </w:t>
      </w:r>
      <w:r>
        <w:t>committee noted variation across clinical practice due to the experience and preference of treating clinicians and the availability of treatment. Nonetheless, for both appraisals, the final scope listed microfracture as an appropriate comparator only for lesions up to 2 cm², and best supportive care for lesions larger than 2 cm².</w:t>
      </w:r>
    </w:p>
    <w:p w14:paraId="35390F96" w14:textId="5AFD3054" w:rsidR="00022B3D" w:rsidRDefault="007046DE" w:rsidP="00022B3D">
      <w:r>
        <w:t>More recent PASC advice</w:t>
      </w:r>
      <w:r w:rsidR="00077395">
        <w:t xml:space="preserve"> </w:t>
      </w:r>
      <w:r w:rsidR="00741CFD">
        <w:t xml:space="preserve">regarding microfracture </w:t>
      </w:r>
      <w:r w:rsidR="00077395">
        <w:t xml:space="preserve">for this </w:t>
      </w:r>
      <w:r w:rsidR="00766FC9">
        <w:t>patient population</w:t>
      </w:r>
      <w:r w:rsidR="00077395">
        <w:t xml:space="preserve"> is available</w:t>
      </w:r>
      <w:r>
        <w:t xml:space="preserve"> </w:t>
      </w:r>
      <w:r w:rsidR="00577EFF">
        <w:t>in relation to</w:t>
      </w:r>
      <w:r w:rsidR="00FF1CBC">
        <w:t xml:space="preserve"> </w:t>
      </w:r>
      <w:r w:rsidR="00593C49">
        <w:t xml:space="preserve">MSAC applications for </w:t>
      </w:r>
      <w:r w:rsidR="00FF1CBC" w:rsidRPr="00FF1CBC">
        <w:t>injectable bioscaffold</w:t>
      </w:r>
      <w:r w:rsidR="00F863ED">
        <w:t>s</w:t>
      </w:r>
      <w:r w:rsidR="00402977">
        <w:t xml:space="preserve"> (</w:t>
      </w:r>
      <w:r w:rsidR="00402977" w:rsidRPr="006B3714">
        <w:t>BST</w:t>
      </w:r>
      <w:r w:rsidR="00FA4E9C">
        <w:t>-</w:t>
      </w:r>
      <w:r w:rsidR="00402977" w:rsidRPr="006B3714">
        <w:t>CarGel</w:t>
      </w:r>
      <w:r w:rsidR="00EE6050">
        <w:t>,</w:t>
      </w:r>
      <w:r w:rsidR="00DC2EBD">
        <w:t xml:space="preserve"> </w:t>
      </w:r>
      <w:r w:rsidR="00B02C68">
        <w:t xml:space="preserve">application </w:t>
      </w:r>
      <w:r w:rsidR="00402977" w:rsidRPr="006B3714">
        <w:t>1569</w:t>
      </w:r>
      <w:r w:rsidR="00402977">
        <w:t xml:space="preserve">; </w:t>
      </w:r>
      <w:r w:rsidR="00402977" w:rsidRPr="00E81002">
        <w:t>JointRep</w:t>
      </w:r>
      <w:r w:rsidR="00EE6050">
        <w:t>,</w:t>
      </w:r>
      <w:r w:rsidR="00DC2EBD">
        <w:t xml:space="preserve"> </w:t>
      </w:r>
      <w:r w:rsidR="00B02C68">
        <w:rPr>
          <w:iCs/>
        </w:rPr>
        <w:t xml:space="preserve">application </w:t>
      </w:r>
      <w:r w:rsidR="00402977" w:rsidRPr="00E81002">
        <w:t>1578</w:t>
      </w:r>
      <w:r w:rsidR="00402977" w:rsidRPr="00A5501B">
        <w:t>)</w:t>
      </w:r>
      <w:r w:rsidR="00077395">
        <w:t xml:space="preserve">. </w:t>
      </w:r>
      <w:r w:rsidR="00DF3FA2">
        <w:t xml:space="preserve">In August 2019, </w:t>
      </w:r>
      <w:r w:rsidR="00077395">
        <w:t xml:space="preserve">PASC </w:t>
      </w:r>
      <w:r>
        <w:t xml:space="preserve">confirmed that microfracture is </w:t>
      </w:r>
      <w:r w:rsidR="003F7BE7">
        <w:t>an</w:t>
      </w:r>
      <w:r>
        <w:t xml:space="preserve"> appropriate comparator for lesions </w:t>
      </w:r>
      <w:r>
        <w:rPr>
          <w:rFonts w:cs="Calibri"/>
          <w:iCs/>
        </w:rPr>
        <w:t>≥</w:t>
      </w:r>
      <w:r>
        <w:rPr>
          <w:iCs/>
        </w:rPr>
        <w:t> 2 </w:t>
      </w:r>
      <w:r w:rsidRPr="006E5486">
        <w:rPr>
          <w:iCs/>
        </w:rPr>
        <w:t>cm²</w:t>
      </w:r>
      <w:r>
        <w:rPr>
          <w:iCs/>
        </w:rPr>
        <w:t xml:space="preserve"> </w:t>
      </w:r>
      <w:r w:rsidR="00F0634C">
        <w:rPr>
          <w:iCs/>
        </w:rPr>
        <w:t xml:space="preserve">for these </w:t>
      </w:r>
      <w:r w:rsidR="00344F1D">
        <w:rPr>
          <w:iCs/>
        </w:rPr>
        <w:t xml:space="preserve">injectable </w:t>
      </w:r>
      <w:r w:rsidR="00F863ED">
        <w:rPr>
          <w:iCs/>
        </w:rPr>
        <w:t>scaffolds</w:t>
      </w:r>
      <w:r w:rsidR="00766FC9">
        <w:t>, although it is relevant that</w:t>
      </w:r>
      <w:r w:rsidR="00D138BC">
        <w:t xml:space="preserve"> </w:t>
      </w:r>
      <w:r w:rsidR="00344F1D">
        <w:t>the</w:t>
      </w:r>
      <w:r w:rsidR="00CD2923">
        <w:t xml:space="preserve"> injectable bioscaffolds</w:t>
      </w:r>
      <w:r w:rsidR="00D138BC">
        <w:t xml:space="preserve"> are </w:t>
      </w:r>
      <w:r w:rsidR="00F863ED">
        <w:t xml:space="preserve">designed </w:t>
      </w:r>
      <w:r w:rsidR="00D138BC">
        <w:t>to be used in conjunction with microfracture</w:t>
      </w:r>
      <w:r w:rsidR="0091465C">
        <w:t xml:space="preserve">, whereas </w:t>
      </w:r>
      <w:r w:rsidR="007E0FBD">
        <w:t>matrix-assisted ACI is intended to be used instead of microfracture</w:t>
      </w:r>
      <w:r w:rsidR="002829E8">
        <w:t>.</w:t>
      </w:r>
    </w:p>
    <w:p w14:paraId="1B219C1E" w14:textId="4A2B82A5" w:rsidR="004A41F4" w:rsidRDefault="007046DE" w:rsidP="004A41F4">
      <w:r w:rsidRPr="00373C76">
        <w:t>In 2020, MSAC noted th</w:t>
      </w:r>
      <w:r w:rsidR="00922A0A" w:rsidRPr="00373C76">
        <w:t>at</w:t>
      </w:r>
      <w:r w:rsidRPr="00373C76">
        <w:t xml:space="preserve"> </w:t>
      </w:r>
      <w:r w:rsidR="00B137A4">
        <w:t xml:space="preserve">the </w:t>
      </w:r>
      <w:r w:rsidRPr="00373C76">
        <w:t xml:space="preserve">Evaluation-Sub-Committee (ESC) </w:t>
      </w:r>
      <w:r w:rsidR="00666FD8" w:rsidRPr="00373C76">
        <w:t>considered expert advice that indicated</w:t>
      </w:r>
      <w:r w:rsidRPr="00373C76">
        <w:t xml:space="preserve"> microfracture is appropriate for the treatment of knee cartilage lesions of up to 5 cm² (</w:t>
      </w:r>
      <w:r w:rsidR="00666FD8">
        <w:t xml:space="preserve">PSD for </w:t>
      </w:r>
      <w:r w:rsidR="00FA4E9C">
        <w:t>BST-CarGel</w:t>
      </w:r>
      <w:r w:rsidR="00666FD8">
        <w:t xml:space="preserve"> application 1569</w:t>
      </w:r>
      <w:r w:rsidRPr="00373C76">
        <w:t>)</w:t>
      </w:r>
      <w:r w:rsidR="001245C6" w:rsidRPr="00373C76">
        <w:t xml:space="preserve">. </w:t>
      </w:r>
      <w:r w:rsidR="006A01C3" w:rsidRPr="00373C76">
        <w:t>MS</w:t>
      </w:r>
      <w:r w:rsidR="00C43D11">
        <w:t>A</w:t>
      </w:r>
      <w:r w:rsidR="006A01C3" w:rsidRPr="00373C76">
        <w:t>C also noted</w:t>
      </w:r>
      <w:r w:rsidR="001245C6" w:rsidRPr="00373C76">
        <w:t xml:space="preserve"> </w:t>
      </w:r>
      <w:r w:rsidRPr="00373C76">
        <w:t xml:space="preserve">that </w:t>
      </w:r>
      <w:r w:rsidR="001245C6" w:rsidRPr="00373C76">
        <w:t xml:space="preserve">patient </w:t>
      </w:r>
      <w:r w:rsidRPr="00373C76">
        <w:t>age and level of activity are important considerations</w:t>
      </w:r>
      <w:r w:rsidR="00666FD8" w:rsidRPr="00373C76">
        <w:t xml:space="preserve"> that </w:t>
      </w:r>
      <w:r w:rsidRPr="00373C76">
        <w:t>are ‘equally as important as lesion size’ when deciding on surgical approach</w:t>
      </w:r>
      <w:r w:rsidR="006A01C3" w:rsidRPr="00373C76">
        <w:t xml:space="preserve">, and that </w:t>
      </w:r>
      <w:r w:rsidRPr="00373C76">
        <w:t>there is ‘limited evidence that microfracture should be accepted as the gold standard for the treatment of chondral lesions of the knee’</w:t>
      </w:r>
      <w:r>
        <w:t>.</w:t>
      </w:r>
    </w:p>
    <w:p w14:paraId="3DA0E364" w14:textId="7FAF6946" w:rsidR="004A41F4" w:rsidRDefault="007046DE" w:rsidP="004A41F4">
      <w:pPr>
        <w:pStyle w:val="Heading4"/>
      </w:pPr>
      <w:r>
        <w:t>Prior advice</w:t>
      </w:r>
      <w:r w:rsidR="00F86CA1">
        <w:t xml:space="preserve"> for </w:t>
      </w:r>
      <w:r w:rsidR="00850E80">
        <w:t xml:space="preserve">mosaicplasty and </w:t>
      </w:r>
      <w:r w:rsidR="00F86CA1">
        <w:t>other comparators</w:t>
      </w:r>
    </w:p>
    <w:p w14:paraId="4503C74F" w14:textId="724901D0" w:rsidR="000D4C81" w:rsidRDefault="007046DE" w:rsidP="00C9582A">
      <w:pPr>
        <w:rPr>
          <w:spacing w:val="2"/>
        </w:rPr>
      </w:pPr>
      <w:r>
        <w:t xml:space="preserve">The </w:t>
      </w:r>
      <w:r w:rsidR="00E01D56">
        <w:t>2010</w:t>
      </w:r>
      <w:r w:rsidR="00D86709">
        <w:t xml:space="preserve"> </w:t>
      </w:r>
      <w:r>
        <w:t xml:space="preserve">application for </w:t>
      </w:r>
      <w:r w:rsidR="0097709F">
        <w:t xml:space="preserve">MBS services for </w:t>
      </w:r>
      <w:r>
        <w:t>ACI/</w:t>
      </w:r>
      <w:r w:rsidR="00E27196">
        <w:t>matrix-assisted</w:t>
      </w:r>
      <w:r w:rsidR="00D92106">
        <w:t xml:space="preserve"> </w:t>
      </w:r>
      <w:r>
        <w:t>ACI</w:t>
      </w:r>
      <w:r w:rsidR="0018168E">
        <w:t xml:space="preserve"> (</w:t>
      </w:r>
      <w:r w:rsidR="0068503A">
        <w:t xml:space="preserve">application </w:t>
      </w:r>
      <w:r w:rsidR="0018168E">
        <w:t>1140)</w:t>
      </w:r>
      <w:r>
        <w:t xml:space="preserve"> </w:t>
      </w:r>
      <w:r w:rsidR="001E09A8">
        <w:t xml:space="preserve">used the term ‘mosaicplasty’ to </w:t>
      </w:r>
      <w:r>
        <w:t>refer to a</w:t>
      </w:r>
      <w:r w:rsidR="001E09A8">
        <w:t>ny type of</w:t>
      </w:r>
      <w:r>
        <w:t xml:space="preserve"> osteochondral </w:t>
      </w:r>
      <w:r w:rsidR="001E09A8">
        <w:t xml:space="preserve">autografting. </w:t>
      </w:r>
      <w:r w:rsidR="00F86CA1">
        <w:t>In 2010, MSAC found that if</w:t>
      </w:r>
      <w:r w:rsidR="00F86CA1">
        <w:rPr>
          <w:spacing w:val="4"/>
        </w:rPr>
        <w:t xml:space="preserve"> </w:t>
      </w:r>
      <w:r w:rsidR="00F86CA1">
        <w:t>li</w:t>
      </w:r>
      <w:r w:rsidR="00F86CA1">
        <w:rPr>
          <w:spacing w:val="1"/>
        </w:rPr>
        <w:t>s</w:t>
      </w:r>
      <w:r w:rsidR="00F86CA1">
        <w:t>ted,</w:t>
      </w:r>
      <w:r w:rsidR="00F86CA1">
        <w:rPr>
          <w:spacing w:val="12"/>
        </w:rPr>
        <w:t xml:space="preserve"> </w:t>
      </w:r>
      <w:r w:rsidR="00E27196">
        <w:t xml:space="preserve">matrix-assisted </w:t>
      </w:r>
      <w:r w:rsidR="00ED68D9">
        <w:t>ACI/ACI</w:t>
      </w:r>
      <w:r w:rsidR="00F86CA1">
        <w:rPr>
          <w:spacing w:val="3"/>
        </w:rPr>
        <w:t xml:space="preserve"> </w:t>
      </w:r>
      <w:r w:rsidR="00F86CA1">
        <w:t>would</w:t>
      </w:r>
      <w:r w:rsidR="00F86CA1">
        <w:rPr>
          <w:spacing w:val="12"/>
        </w:rPr>
        <w:t xml:space="preserve"> </w:t>
      </w:r>
      <w:r w:rsidR="00F86CA1">
        <w:rPr>
          <w:spacing w:val="2"/>
        </w:rPr>
        <w:t>s</w:t>
      </w:r>
      <w:r w:rsidR="00F86CA1">
        <w:t>ubstitu</w:t>
      </w:r>
      <w:r w:rsidR="00F86CA1">
        <w:rPr>
          <w:spacing w:val="1"/>
        </w:rPr>
        <w:t>t</w:t>
      </w:r>
      <w:r w:rsidR="00F86CA1">
        <w:t>e</w:t>
      </w:r>
      <w:r w:rsidR="00F86CA1">
        <w:rPr>
          <w:spacing w:val="18"/>
        </w:rPr>
        <w:t xml:space="preserve"> </w:t>
      </w:r>
      <w:r w:rsidR="00F86CA1">
        <w:t>for</w:t>
      </w:r>
      <w:r w:rsidR="00F86CA1">
        <w:rPr>
          <w:spacing w:val="6"/>
        </w:rPr>
        <w:t xml:space="preserve"> </w:t>
      </w:r>
      <w:r w:rsidR="00F86CA1">
        <w:t>s</w:t>
      </w:r>
      <w:r w:rsidR="00F86CA1">
        <w:rPr>
          <w:spacing w:val="1"/>
        </w:rPr>
        <w:t>o</w:t>
      </w:r>
      <w:r w:rsidR="00F86CA1">
        <w:rPr>
          <w:spacing w:val="-3"/>
        </w:rPr>
        <w:t>m</w:t>
      </w:r>
      <w:r w:rsidR="00F86CA1">
        <w:t>e</w:t>
      </w:r>
      <w:r w:rsidR="00F86CA1">
        <w:rPr>
          <w:spacing w:val="12"/>
        </w:rPr>
        <w:t xml:space="preserve"> </w:t>
      </w:r>
      <w:r w:rsidR="00F86CA1">
        <w:t>ins</w:t>
      </w:r>
      <w:r w:rsidR="00F86CA1">
        <w:rPr>
          <w:spacing w:val="1"/>
        </w:rPr>
        <w:t>t</w:t>
      </w:r>
      <w:r w:rsidR="00F86CA1">
        <w:t>a</w:t>
      </w:r>
      <w:r w:rsidR="00F86CA1">
        <w:rPr>
          <w:spacing w:val="1"/>
        </w:rPr>
        <w:t>n</w:t>
      </w:r>
      <w:r w:rsidR="00F86CA1">
        <w:t>c</w:t>
      </w:r>
      <w:r w:rsidR="00F86CA1">
        <w:rPr>
          <w:spacing w:val="-2"/>
        </w:rPr>
        <w:t>e</w:t>
      </w:r>
      <w:r w:rsidR="00F86CA1">
        <w:t>s</w:t>
      </w:r>
      <w:r w:rsidR="00F86CA1">
        <w:rPr>
          <w:spacing w:val="18"/>
        </w:rPr>
        <w:t xml:space="preserve"> </w:t>
      </w:r>
      <w:r w:rsidR="00F86CA1">
        <w:t>of</w:t>
      </w:r>
      <w:r w:rsidR="00F86CA1">
        <w:rPr>
          <w:spacing w:val="8"/>
        </w:rPr>
        <w:t xml:space="preserve"> </w:t>
      </w:r>
      <w:r w:rsidR="00D4033C">
        <w:rPr>
          <w:spacing w:val="-3"/>
        </w:rPr>
        <w:t>m</w:t>
      </w:r>
      <w:r w:rsidR="00D4033C">
        <w:t>osa</w:t>
      </w:r>
      <w:r w:rsidR="00D4033C">
        <w:rPr>
          <w:spacing w:val="1"/>
        </w:rPr>
        <w:t>i</w:t>
      </w:r>
      <w:r w:rsidR="00D4033C">
        <w:rPr>
          <w:spacing w:val="-2"/>
        </w:rPr>
        <w:t>c</w:t>
      </w:r>
      <w:r w:rsidR="00D4033C">
        <w:rPr>
          <w:spacing w:val="1"/>
        </w:rPr>
        <w:t>p</w:t>
      </w:r>
      <w:r w:rsidR="00D4033C">
        <w:t>lasty</w:t>
      </w:r>
      <w:r w:rsidR="00D4033C">
        <w:rPr>
          <w:spacing w:val="2"/>
        </w:rPr>
        <w:t xml:space="preserve"> and</w:t>
      </w:r>
      <w:r w:rsidR="00F86CA1">
        <w:rPr>
          <w:spacing w:val="2"/>
        </w:rPr>
        <w:t xml:space="preserve"> </w:t>
      </w:r>
      <w:r w:rsidR="00697CB0">
        <w:rPr>
          <w:spacing w:val="2"/>
        </w:rPr>
        <w:t>c</w:t>
      </w:r>
      <w:r w:rsidR="00F86CA1" w:rsidRPr="00AA656C">
        <w:rPr>
          <w:spacing w:val="2"/>
        </w:rPr>
        <w:t>onsidered</w:t>
      </w:r>
      <w:r w:rsidR="00F86CA1" w:rsidRPr="0016579E">
        <w:rPr>
          <w:spacing w:val="2"/>
        </w:rPr>
        <w:t xml:space="preserve"> </w:t>
      </w:r>
      <w:r w:rsidR="00901E21">
        <w:rPr>
          <w:spacing w:val="2"/>
        </w:rPr>
        <w:t xml:space="preserve">both </w:t>
      </w:r>
      <w:r w:rsidR="00F86CA1" w:rsidRPr="00AA656C">
        <w:rPr>
          <w:spacing w:val="2"/>
        </w:rPr>
        <w:t xml:space="preserve">mosaicplasty and debridement </w:t>
      </w:r>
      <w:r w:rsidR="00F86CA1">
        <w:rPr>
          <w:spacing w:val="2"/>
        </w:rPr>
        <w:t>to be</w:t>
      </w:r>
      <w:r w:rsidR="00F86CA1" w:rsidRPr="00AA656C">
        <w:rPr>
          <w:spacing w:val="2"/>
        </w:rPr>
        <w:t xml:space="preserve"> appropriate comparators</w:t>
      </w:r>
      <w:r w:rsidR="00697CB0">
        <w:rPr>
          <w:spacing w:val="2"/>
        </w:rPr>
        <w:t xml:space="preserve"> along</w:t>
      </w:r>
      <w:r w:rsidR="00901E21">
        <w:rPr>
          <w:spacing w:val="2"/>
        </w:rPr>
        <w:t>side</w:t>
      </w:r>
      <w:r w:rsidR="00697CB0">
        <w:rPr>
          <w:spacing w:val="2"/>
        </w:rPr>
        <w:t xml:space="preserve"> </w:t>
      </w:r>
      <w:r w:rsidR="00697CB0" w:rsidRPr="00AA656C">
        <w:rPr>
          <w:spacing w:val="2"/>
        </w:rPr>
        <w:t>microfracture</w:t>
      </w:r>
      <w:r w:rsidR="00697CB0">
        <w:rPr>
          <w:spacing w:val="2"/>
        </w:rPr>
        <w:t xml:space="preserve"> (</w:t>
      </w:r>
      <w:r w:rsidR="00697CB0">
        <w:rPr>
          <w:iCs/>
        </w:rPr>
        <w:t xml:space="preserve">application </w:t>
      </w:r>
      <w:r w:rsidR="00697CB0">
        <w:t>1140)</w:t>
      </w:r>
      <w:r w:rsidR="00F86CA1">
        <w:rPr>
          <w:spacing w:val="2"/>
        </w:rPr>
        <w:t>.</w:t>
      </w:r>
      <w:r w:rsidR="00E34A93">
        <w:rPr>
          <w:spacing w:val="2"/>
        </w:rPr>
        <w:t xml:space="preserve"> </w:t>
      </w:r>
      <w:r w:rsidR="000413D5">
        <w:rPr>
          <w:spacing w:val="2"/>
        </w:rPr>
        <w:t>The PICO for th</w:t>
      </w:r>
      <w:r w:rsidR="002D127E">
        <w:rPr>
          <w:spacing w:val="2"/>
        </w:rPr>
        <w:t xml:space="preserve">e assessment report </w:t>
      </w:r>
      <w:r w:rsidR="00D116E7">
        <w:rPr>
          <w:spacing w:val="2"/>
        </w:rPr>
        <w:t>also</w:t>
      </w:r>
      <w:r w:rsidR="000413D5">
        <w:rPr>
          <w:spacing w:val="2"/>
        </w:rPr>
        <w:t xml:space="preserve"> </w:t>
      </w:r>
      <w:r w:rsidR="00EA06FA">
        <w:rPr>
          <w:spacing w:val="2"/>
        </w:rPr>
        <w:t>listed</w:t>
      </w:r>
      <w:r w:rsidR="000413D5">
        <w:rPr>
          <w:spacing w:val="2"/>
        </w:rPr>
        <w:t xml:space="preserve"> osteochondral allografting as a</w:t>
      </w:r>
      <w:r w:rsidR="00D116E7">
        <w:rPr>
          <w:spacing w:val="2"/>
        </w:rPr>
        <w:t xml:space="preserve"> potential</w:t>
      </w:r>
      <w:r w:rsidR="000413D5">
        <w:rPr>
          <w:spacing w:val="2"/>
        </w:rPr>
        <w:t xml:space="preserve"> comparator</w:t>
      </w:r>
      <w:r w:rsidR="00835F13">
        <w:rPr>
          <w:spacing w:val="2"/>
        </w:rPr>
        <w:t>,</w:t>
      </w:r>
      <w:r w:rsidR="00D116E7">
        <w:rPr>
          <w:spacing w:val="2"/>
        </w:rPr>
        <w:t xml:space="preserve"> but</w:t>
      </w:r>
      <w:r w:rsidR="00336266">
        <w:rPr>
          <w:spacing w:val="2"/>
        </w:rPr>
        <w:t xml:space="preserve"> no </w:t>
      </w:r>
      <w:r w:rsidR="004A55E1">
        <w:rPr>
          <w:spacing w:val="2"/>
        </w:rPr>
        <w:t>comparative evidence was presented</w:t>
      </w:r>
      <w:r w:rsidR="000413D5">
        <w:rPr>
          <w:spacing w:val="2"/>
        </w:rPr>
        <w:t>.</w:t>
      </w:r>
      <w:r w:rsidR="008560BB">
        <w:rPr>
          <w:spacing w:val="2"/>
        </w:rPr>
        <w:t xml:space="preserve"> </w:t>
      </w:r>
    </w:p>
    <w:p w14:paraId="2668244F" w14:textId="17AA66D5" w:rsidR="00C9582A" w:rsidRDefault="007046DE" w:rsidP="00C9582A">
      <w:pPr>
        <w:rPr>
          <w:iCs/>
        </w:rPr>
      </w:pPr>
      <w:r>
        <w:rPr>
          <w:spacing w:val="2"/>
        </w:rPr>
        <w:t xml:space="preserve">In 2012, </w:t>
      </w:r>
      <w:r w:rsidRPr="00F55A30">
        <w:rPr>
          <w:iCs/>
        </w:rPr>
        <w:t>PASC</w:t>
      </w:r>
      <w:r w:rsidR="00E352B7">
        <w:rPr>
          <w:iCs/>
        </w:rPr>
        <w:t xml:space="preserve"> determined</w:t>
      </w:r>
      <w:r w:rsidR="006E4F3D">
        <w:rPr>
          <w:iCs/>
        </w:rPr>
        <w:t xml:space="preserve"> that mosaicplasty</w:t>
      </w:r>
      <w:r w:rsidR="007D4963">
        <w:rPr>
          <w:iCs/>
        </w:rPr>
        <w:t xml:space="preserve"> </w:t>
      </w:r>
      <w:r w:rsidR="00554795">
        <w:rPr>
          <w:iCs/>
        </w:rPr>
        <w:t>was</w:t>
      </w:r>
      <w:r w:rsidR="006E4F3D">
        <w:rPr>
          <w:iCs/>
        </w:rPr>
        <w:t xml:space="preserve"> not an appropriate comparator</w:t>
      </w:r>
      <w:r w:rsidR="006628EF">
        <w:rPr>
          <w:iCs/>
        </w:rPr>
        <w:t xml:space="preserve"> </w:t>
      </w:r>
      <w:r w:rsidR="007D4963">
        <w:rPr>
          <w:iCs/>
        </w:rPr>
        <w:t xml:space="preserve">for </w:t>
      </w:r>
      <w:r w:rsidR="00E052C3">
        <w:t xml:space="preserve">patients with </w:t>
      </w:r>
      <w:r w:rsidR="007D4963">
        <w:rPr>
          <w:iCs/>
        </w:rPr>
        <w:t xml:space="preserve">lesions </w:t>
      </w:r>
      <w:r w:rsidR="007D4963">
        <w:rPr>
          <w:rFonts w:cs="Calibri"/>
          <w:iCs/>
        </w:rPr>
        <w:t>≥</w:t>
      </w:r>
      <w:r w:rsidR="007D4963">
        <w:rPr>
          <w:iCs/>
        </w:rPr>
        <w:t> 2 </w:t>
      </w:r>
      <w:r w:rsidR="007D4963" w:rsidRPr="006E5486">
        <w:rPr>
          <w:iCs/>
        </w:rPr>
        <w:t>cm²</w:t>
      </w:r>
      <w:r w:rsidR="007D4963">
        <w:rPr>
          <w:iCs/>
        </w:rPr>
        <w:t xml:space="preserve"> and </w:t>
      </w:r>
      <w:r w:rsidR="007D4963">
        <w:rPr>
          <w:rFonts w:cs="Calibri"/>
          <w:iCs/>
        </w:rPr>
        <w:t>≤</w:t>
      </w:r>
      <w:r w:rsidR="007D4963">
        <w:rPr>
          <w:iCs/>
        </w:rPr>
        <w:t> 4 </w:t>
      </w:r>
      <w:r w:rsidR="007D4963" w:rsidRPr="00C036AA">
        <w:rPr>
          <w:iCs/>
        </w:rPr>
        <w:t>cm²</w:t>
      </w:r>
      <w:r w:rsidR="007D4963">
        <w:rPr>
          <w:iCs/>
        </w:rPr>
        <w:t xml:space="preserve"> </w:t>
      </w:r>
      <w:r w:rsidR="00E95574">
        <w:rPr>
          <w:iCs/>
        </w:rPr>
        <w:t xml:space="preserve">based on </w:t>
      </w:r>
      <w:r w:rsidR="00D26E85">
        <w:rPr>
          <w:iCs/>
        </w:rPr>
        <w:t xml:space="preserve">expert advice that in clinical practice it is </w:t>
      </w:r>
      <w:r w:rsidR="00E352B7">
        <w:rPr>
          <w:iCs/>
        </w:rPr>
        <w:t>infrequent</w:t>
      </w:r>
      <w:r w:rsidR="00D26E85">
        <w:rPr>
          <w:iCs/>
        </w:rPr>
        <w:t>ly</w:t>
      </w:r>
      <w:r w:rsidR="00E95574">
        <w:rPr>
          <w:iCs/>
        </w:rPr>
        <w:t xml:space="preserve"> </w:t>
      </w:r>
      <w:r w:rsidR="00E352B7">
        <w:rPr>
          <w:iCs/>
        </w:rPr>
        <w:t>use</w:t>
      </w:r>
      <w:r w:rsidR="00D26E85">
        <w:rPr>
          <w:iCs/>
        </w:rPr>
        <w:t xml:space="preserve">d </w:t>
      </w:r>
      <w:r w:rsidR="00DA6591">
        <w:rPr>
          <w:iCs/>
        </w:rPr>
        <w:t>and is</w:t>
      </w:r>
      <w:r w:rsidR="00D26E85">
        <w:rPr>
          <w:iCs/>
        </w:rPr>
        <w:t xml:space="preserve"> predominantly </w:t>
      </w:r>
      <w:r w:rsidR="00DA6591">
        <w:rPr>
          <w:iCs/>
        </w:rPr>
        <w:t>used</w:t>
      </w:r>
      <w:r w:rsidR="00D26E85">
        <w:rPr>
          <w:iCs/>
        </w:rPr>
        <w:t xml:space="preserve"> in younger patients</w:t>
      </w:r>
      <w:r w:rsidR="00E352B7">
        <w:rPr>
          <w:iCs/>
        </w:rPr>
        <w:t xml:space="preserve"> </w:t>
      </w:r>
      <w:r>
        <w:rPr>
          <w:iCs/>
        </w:rPr>
        <w:t xml:space="preserve">(DAP for </w:t>
      </w:r>
      <w:r w:rsidR="00F25D6A">
        <w:rPr>
          <w:iCs/>
        </w:rPr>
        <w:t xml:space="preserve">application </w:t>
      </w:r>
      <w:r>
        <w:rPr>
          <w:iCs/>
        </w:rPr>
        <w:t>1273)</w:t>
      </w:r>
      <w:r w:rsidR="00290CD4">
        <w:rPr>
          <w:iCs/>
        </w:rPr>
        <w:t>.</w:t>
      </w:r>
      <w:r w:rsidR="00970075">
        <w:rPr>
          <w:iCs/>
        </w:rPr>
        <w:t xml:space="preserve"> PASC also </w:t>
      </w:r>
      <w:r w:rsidR="00970075" w:rsidRPr="00F55A30">
        <w:rPr>
          <w:iCs/>
        </w:rPr>
        <w:t xml:space="preserve">resolved that </w:t>
      </w:r>
      <w:r w:rsidR="00E27196">
        <w:rPr>
          <w:iCs/>
        </w:rPr>
        <w:t xml:space="preserve">matrix-assisted </w:t>
      </w:r>
      <w:r w:rsidR="00970075" w:rsidRPr="00F55A30">
        <w:rPr>
          <w:iCs/>
        </w:rPr>
        <w:t>ACI would not be used in place of debridement</w:t>
      </w:r>
      <w:r w:rsidR="00970075">
        <w:rPr>
          <w:iCs/>
        </w:rPr>
        <w:t>.</w:t>
      </w:r>
      <w:r w:rsidR="00A957A8">
        <w:rPr>
          <w:iCs/>
        </w:rPr>
        <w:t xml:space="preserve"> </w:t>
      </w:r>
      <w:r w:rsidR="00D35EEE">
        <w:t>Osteochondral a</w:t>
      </w:r>
      <w:r w:rsidR="00D35EEE">
        <w:rPr>
          <w:iCs/>
        </w:rPr>
        <w:t xml:space="preserve">llografting was not proposed by the applicant nor discussed by PASC. </w:t>
      </w:r>
    </w:p>
    <w:p w14:paraId="14B7E55F" w14:textId="17000C84" w:rsidR="00E9697E" w:rsidRPr="0056198C" w:rsidRDefault="007046DE" w:rsidP="00E9697E">
      <w:r w:rsidRPr="0056198C">
        <w:t xml:space="preserve">The </w:t>
      </w:r>
      <w:r>
        <w:t xml:space="preserve">2017 and 2018 </w:t>
      </w:r>
      <w:r w:rsidRPr="0056198C">
        <w:t xml:space="preserve">NICE </w:t>
      </w:r>
      <w:r>
        <w:t xml:space="preserve">technology appraisals for ACI (TA477, TA508) determined that mosaicplasty is rarely used in </w:t>
      </w:r>
      <w:r w:rsidR="00B940C1">
        <w:t>National Health Service (</w:t>
      </w:r>
      <w:r>
        <w:t>NHS</w:t>
      </w:r>
      <w:r w:rsidR="00B940C1">
        <w:t>)</w:t>
      </w:r>
      <w:r>
        <w:t xml:space="preserve"> clinical practice and so is not an appropriate comparator in the UK for any size lesions.</w:t>
      </w:r>
      <w:r w:rsidR="009A13AC">
        <w:t xml:space="preserve"> Osteochondral a</w:t>
      </w:r>
      <w:r w:rsidR="009A13AC">
        <w:rPr>
          <w:iCs/>
        </w:rPr>
        <w:t>llografting was not discussed.</w:t>
      </w:r>
    </w:p>
    <w:p w14:paraId="5CAB8CA4" w14:textId="0640E516" w:rsidR="00B232C0" w:rsidRDefault="007046DE" w:rsidP="00B733C5">
      <w:r>
        <w:t xml:space="preserve">In 2020, PASC noted </w:t>
      </w:r>
      <w:r w:rsidRPr="002B654C">
        <w:t>clinical expert</w:t>
      </w:r>
      <w:r>
        <w:t xml:space="preserve"> </w:t>
      </w:r>
      <w:r w:rsidR="00743F19">
        <w:t>advice that</w:t>
      </w:r>
      <w:r>
        <w:t xml:space="preserve"> </w:t>
      </w:r>
      <w:r w:rsidR="003114FA" w:rsidRPr="002B654C">
        <w:t xml:space="preserve">mosaicplasty is rarely used in Australia because </w:t>
      </w:r>
      <w:r w:rsidR="005F4277" w:rsidRPr="002B654C">
        <w:t xml:space="preserve">it is a technically difficult procedure to </w:t>
      </w:r>
      <w:r w:rsidR="00D4033C" w:rsidRPr="002B654C">
        <w:t>perform</w:t>
      </w:r>
      <w:r w:rsidR="00D4033C">
        <w:t xml:space="preserve"> and</w:t>
      </w:r>
      <w:r w:rsidR="00AF56C4">
        <w:t xml:space="preserve"> </w:t>
      </w:r>
      <w:r w:rsidR="00AF56C4" w:rsidRPr="002B654C">
        <w:t xml:space="preserve">agreed that </w:t>
      </w:r>
      <w:r w:rsidR="00A01AEE">
        <w:t>it</w:t>
      </w:r>
      <w:r w:rsidR="00AF56C4" w:rsidRPr="002B654C">
        <w:t xml:space="preserve"> was </w:t>
      </w:r>
      <w:r w:rsidR="00A01AEE">
        <w:t xml:space="preserve">therefore </w:t>
      </w:r>
      <w:r w:rsidR="00AF56C4" w:rsidRPr="002B654C">
        <w:t xml:space="preserve">not a suitable comparator for </w:t>
      </w:r>
      <w:r w:rsidR="00FA4E9C">
        <w:t>BST-CarGel</w:t>
      </w:r>
      <w:r w:rsidR="0086533E" w:rsidRPr="002B654C">
        <w:t xml:space="preserve"> (</w:t>
      </w:r>
      <w:r w:rsidR="002B3D9F">
        <w:t>application 1569</w:t>
      </w:r>
      <w:r w:rsidR="0086533E" w:rsidRPr="002B654C">
        <w:t>)</w:t>
      </w:r>
      <w:r w:rsidR="005F4277" w:rsidRPr="002B654C">
        <w:t>.</w:t>
      </w:r>
      <w:r w:rsidR="00A01AEE">
        <w:t xml:space="preserve"> </w:t>
      </w:r>
      <w:r w:rsidR="00E50AA8">
        <w:t>In 2021, PASC made a</w:t>
      </w:r>
      <w:r w:rsidR="009E36B7" w:rsidRPr="002B654C">
        <w:t xml:space="preserve"> different decision </w:t>
      </w:r>
      <w:r w:rsidR="001A68D8" w:rsidRPr="002B654C">
        <w:t>in consideration of JointRep</w:t>
      </w:r>
      <w:r w:rsidR="004E5459">
        <w:t xml:space="preserve"> (application 1578)</w:t>
      </w:r>
      <w:r w:rsidR="0031799D" w:rsidRPr="002B654C">
        <w:t xml:space="preserve">, </w:t>
      </w:r>
      <w:r w:rsidR="006A36B2">
        <w:t>and</w:t>
      </w:r>
      <w:r w:rsidR="007A0E0F" w:rsidRPr="002B654C">
        <w:t xml:space="preserve"> mosaicplasty was </w:t>
      </w:r>
      <w:r w:rsidR="002D2A81" w:rsidRPr="002B654C">
        <w:t xml:space="preserve">selected as </w:t>
      </w:r>
      <w:r w:rsidR="007A0E0F" w:rsidRPr="002B654C">
        <w:t>a comparator</w:t>
      </w:r>
      <w:r w:rsidR="00976CC1" w:rsidRPr="002B654C">
        <w:t xml:space="preserve"> for </w:t>
      </w:r>
      <w:r w:rsidR="00390541">
        <w:t xml:space="preserve">patients with </w:t>
      </w:r>
      <w:r w:rsidR="00976CC1" w:rsidRPr="002B654C">
        <w:t xml:space="preserve">lesions </w:t>
      </w:r>
      <w:r w:rsidR="00976CC1" w:rsidRPr="002B654C">
        <w:rPr>
          <w:rFonts w:cs="Calibri"/>
        </w:rPr>
        <w:t>≥</w:t>
      </w:r>
      <w:r w:rsidR="00976CC1" w:rsidRPr="002B654C">
        <w:t>2 cm²</w:t>
      </w:r>
      <w:r w:rsidR="006A36B2">
        <w:t xml:space="preserve">, </w:t>
      </w:r>
      <w:r w:rsidR="002D2A81" w:rsidRPr="002B654C">
        <w:t>not</w:t>
      </w:r>
      <w:r w:rsidR="006A36B2">
        <w:t>ing</w:t>
      </w:r>
      <w:r w:rsidR="002D2A81" w:rsidRPr="002B654C">
        <w:t xml:space="preserve"> th</w:t>
      </w:r>
      <w:r w:rsidR="006A36B2">
        <w:t>e</w:t>
      </w:r>
      <w:r w:rsidR="002D2A81" w:rsidRPr="002B654C">
        <w:t xml:space="preserve"> </w:t>
      </w:r>
      <w:r w:rsidR="0026122B" w:rsidRPr="002B654C">
        <w:t xml:space="preserve">inconsistency </w:t>
      </w:r>
      <w:r w:rsidR="006A36B2">
        <w:t xml:space="preserve">with the </w:t>
      </w:r>
      <w:r w:rsidR="00254431">
        <w:t xml:space="preserve">PICO for </w:t>
      </w:r>
      <w:r w:rsidR="00FA4E9C">
        <w:t>BST-CarGel</w:t>
      </w:r>
      <w:r w:rsidR="00C726A0" w:rsidRPr="002B654C">
        <w:t>.</w:t>
      </w:r>
      <w:r w:rsidR="00585016" w:rsidRPr="00585016">
        <w:t xml:space="preserve"> </w:t>
      </w:r>
    </w:p>
    <w:p w14:paraId="332545E5" w14:textId="7F54002A" w:rsidR="007A0E0F" w:rsidRDefault="007046DE" w:rsidP="00B733C5">
      <w:r>
        <w:t>Osteochondral a</w:t>
      </w:r>
      <w:r>
        <w:rPr>
          <w:iCs/>
        </w:rPr>
        <w:t>llografting was not discussed</w:t>
      </w:r>
      <w:r w:rsidR="00B232C0">
        <w:rPr>
          <w:iCs/>
        </w:rPr>
        <w:t xml:space="preserve"> in the Ratified PICO for either </w:t>
      </w:r>
      <w:r w:rsidR="00FA4E9C">
        <w:rPr>
          <w:iCs/>
        </w:rPr>
        <w:t>BST-CarGel</w:t>
      </w:r>
      <w:r w:rsidR="00A512D7">
        <w:rPr>
          <w:iCs/>
        </w:rPr>
        <w:t xml:space="preserve"> or JointRep</w:t>
      </w:r>
      <w:r w:rsidR="00B232C0">
        <w:rPr>
          <w:iCs/>
        </w:rPr>
        <w:t>.</w:t>
      </w:r>
    </w:p>
    <w:p w14:paraId="183363B5" w14:textId="642A5AEB" w:rsidR="00243DC0" w:rsidRDefault="007046DE" w:rsidP="00243DC0">
      <w:pPr>
        <w:pStyle w:val="Heading4"/>
      </w:pPr>
      <w:r>
        <w:lastRenderedPageBreak/>
        <w:t>Utilisation of MBS items</w:t>
      </w:r>
      <w:r w:rsidR="00ED5051">
        <w:t xml:space="preserve"> for other </w:t>
      </w:r>
      <w:r w:rsidR="000D378C">
        <w:t>interventions</w:t>
      </w:r>
    </w:p>
    <w:p w14:paraId="35A8040F" w14:textId="2CF4FD5C" w:rsidR="000E5B89" w:rsidRDefault="007046DE" w:rsidP="00243DC0">
      <w:r>
        <w:t xml:space="preserve">In </w:t>
      </w:r>
      <w:r w:rsidR="00492991">
        <w:t xml:space="preserve">July </w:t>
      </w:r>
      <w:r>
        <w:t>2021</w:t>
      </w:r>
      <w:r w:rsidR="007B15BA">
        <w:t xml:space="preserve">, </w:t>
      </w:r>
      <w:r w:rsidR="007B15BA" w:rsidRPr="007B15BA">
        <w:t xml:space="preserve">MBS </w:t>
      </w:r>
      <w:r w:rsidR="00604C99">
        <w:t>i</w:t>
      </w:r>
      <w:r w:rsidR="007B15BA" w:rsidRPr="007B15BA">
        <w:t xml:space="preserve">tems for </w:t>
      </w:r>
      <w:r w:rsidR="00492991" w:rsidRPr="007B15BA">
        <w:t>orthopaedic knee surgery</w:t>
      </w:r>
      <w:r w:rsidR="00492991">
        <w:t xml:space="preserve"> were </w:t>
      </w:r>
      <w:r w:rsidR="00A37DDE">
        <w:t>revised</w:t>
      </w:r>
      <w:r w:rsidR="006E4B1D">
        <w:t>, and the</w:t>
      </w:r>
      <w:r w:rsidR="000E27DE">
        <w:t xml:space="preserve"> </w:t>
      </w:r>
      <w:r w:rsidR="000E27DE" w:rsidRPr="000E27DE">
        <w:t xml:space="preserve">existing knee arthroscopy items </w:t>
      </w:r>
      <w:r w:rsidR="000E27DE">
        <w:t>were</w:t>
      </w:r>
      <w:r w:rsidR="000E27DE" w:rsidRPr="000E27DE">
        <w:t xml:space="preserve"> replaced with </w:t>
      </w:r>
      <w:r w:rsidR="000E27DE">
        <w:t>nine</w:t>
      </w:r>
      <w:r w:rsidR="000E27DE" w:rsidRPr="000E27DE">
        <w:t xml:space="preserve"> new items, separated into three tiers based on complexity, </w:t>
      </w:r>
      <w:r w:rsidR="000E27DE">
        <w:t>to</w:t>
      </w:r>
      <w:r w:rsidR="000E27DE" w:rsidRPr="000E27DE">
        <w:t xml:space="preserve"> better reflect the range of complexity associated with arthroscopic procedures of the knee</w:t>
      </w:r>
      <w:r>
        <w:rPr>
          <w:rStyle w:val="FootnoteReference"/>
        </w:rPr>
        <w:footnoteReference w:id="8"/>
      </w:r>
      <w:r w:rsidR="000E27DE" w:rsidRPr="000E27DE">
        <w:t>.</w:t>
      </w:r>
      <w:r w:rsidR="009A405F">
        <w:t xml:space="preserve"> </w:t>
      </w:r>
      <w:r w:rsidR="000E7A2D">
        <w:t>Recent c</w:t>
      </w:r>
      <w:r w:rsidR="00553438">
        <w:t>laims data for</w:t>
      </w:r>
      <w:r>
        <w:t xml:space="preserve"> MBS items </w:t>
      </w:r>
      <w:r w:rsidR="005F4775">
        <w:t>used</w:t>
      </w:r>
      <w:r w:rsidR="009737B6">
        <w:t>,</w:t>
      </w:r>
      <w:r w:rsidR="005F4775">
        <w:t xml:space="preserve"> or </w:t>
      </w:r>
      <w:r>
        <w:t>potential</w:t>
      </w:r>
      <w:r w:rsidR="005F4775">
        <w:t>ly used</w:t>
      </w:r>
      <w:r w:rsidR="009737B6">
        <w:t>,</w:t>
      </w:r>
      <w:r>
        <w:t xml:space="preserve"> </w:t>
      </w:r>
      <w:r w:rsidR="005F4775">
        <w:t xml:space="preserve">for </w:t>
      </w:r>
      <w:r>
        <w:t xml:space="preserve">comparator services are tabulated below to provide </w:t>
      </w:r>
      <w:r w:rsidR="00256842">
        <w:t xml:space="preserve">potential </w:t>
      </w:r>
      <w:r w:rsidR="00504E7B">
        <w:t>upper limits to the</w:t>
      </w:r>
      <w:r w:rsidR="000E7A2D">
        <w:t xml:space="preserve"> </w:t>
      </w:r>
      <w:r w:rsidR="00A260E5">
        <w:t xml:space="preserve">current MBS-funded surgical </w:t>
      </w:r>
      <w:r w:rsidR="00A7059A">
        <w:t>interventions for knee cartilage lesions</w:t>
      </w:r>
      <w:r w:rsidR="00B455A1">
        <w:t xml:space="preserve"> (</w:t>
      </w:r>
      <w:r w:rsidR="00B455A1">
        <w:fldChar w:fldCharType="begin"/>
      </w:r>
      <w:r w:rsidR="00B455A1">
        <w:instrText xml:space="preserve"> REF _Ref160721525 \h </w:instrText>
      </w:r>
      <w:r w:rsidR="00B455A1">
        <w:fldChar w:fldCharType="separate"/>
      </w:r>
      <w:r w:rsidR="00E602A3">
        <w:t xml:space="preserve">Table </w:t>
      </w:r>
      <w:r w:rsidR="00E602A3">
        <w:rPr>
          <w:noProof/>
        </w:rPr>
        <w:t>6</w:t>
      </w:r>
      <w:r w:rsidR="00B455A1">
        <w:fldChar w:fldCharType="end"/>
      </w:r>
      <w:r w:rsidR="00B455A1">
        <w:t>)</w:t>
      </w:r>
      <w:r w:rsidR="00A7059A">
        <w:t>.</w:t>
      </w:r>
    </w:p>
    <w:p w14:paraId="4256CA34" w14:textId="0ECFCEAD" w:rsidR="008021B7" w:rsidRDefault="007046DE" w:rsidP="008021B7">
      <w:r>
        <w:t>MBS item 49576</w:t>
      </w:r>
      <w:r w:rsidR="00484A38">
        <w:t xml:space="preserve"> </w:t>
      </w:r>
      <w:r w:rsidR="009A405F">
        <w:t xml:space="preserve">is specific to microfracture or </w:t>
      </w:r>
      <w:r w:rsidR="006A518C">
        <w:t>micro</w:t>
      </w:r>
      <w:r w:rsidR="009A405F">
        <w:t>drilling</w:t>
      </w:r>
      <w:r w:rsidR="00967939">
        <w:t xml:space="preserve"> for chondral lesions of the knee</w:t>
      </w:r>
      <w:r w:rsidR="00C438EF">
        <w:t xml:space="preserve">. </w:t>
      </w:r>
      <w:r w:rsidR="00CA75B4">
        <w:t>There are no knee-specific MBS items for osteochondral autografting services</w:t>
      </w:r>
      <w:r w:rsidR="00897447">
        <w:t xml:space="preserve">, but a selection of </w:t>
      </w:r>
      <w:r w:rsidR="00AA3A78">
        <w:t xml:space="preserve">four </w:t>
      </w:r>
      <w:r w:rsidR="00897447">
        <w:t xml:space="preserve">potentially suitable </w:t>
      </w:r>
      <w:r w:rsidR="00AA3A78">
        <w:t>items are tabulated</w:t>
      </w:r>
      <w:r w:rsidR="00967785">
        <w:t xml:space="preserve">. </w:t>
      </w:r>
      <w:r w:rsidR="00692C3C">
        <w:t xml:space="preserve">Item </w:t>
      </w:r>
      <w:r>
        <w:t xml:space="preserve">48251 </w:t>
      </w:r>
      <w:r w:rsidR="00AA3A78">
        <w:t>would be appropriate for an</w:t>
      </w:r>
      <w:r>
        <w:t xml:space="preserve"> osteochondral autologous grafting service (</w:t>
      </w:r>
      <w:r w:rsidR="00020FCF">
        <w:t>h</w:t>
      </w:r>
      <w:r w:rsidRPr="00EB446C">
        <w:t>arvesting and insertion of osteochondral graft (autograft) via separate incisions at the same joint or joint complex</w:t>
      </w:r>
      <w:r>
        <w:t>)</w:t>
      </w:r>
      <w:r w:rsidR="00AA3A78">
        <w:t>, but is not knee specific</w:t>
      </w:r>
      <w:r w:rsidR="00937E87">
        <w:t xml:space="preserve">, although </w:t>
      </w:r>
      <w:r w:rsidR="003A6A0F">
        <w:t xml:space="preserve">it is likely </w:t>
      </w:r>
      <w:r w:rsidR="00937E87">
        <w:t xml:space="preserve">such procedures </w:t>
      </w:r>
      <w:r w:rsidR="003A6A0F">
        <w:t>are</w:t>
      </w:r>
      <w:r w:rsidR="00937E87">
        <w:t xml:space="preserve"> performed </w:t>
      </w:r>
      <w:r>
        <w:t xml:space="preserve">most </w:t>
      </w:r>
      <w:r w:rsidR="003A6A0F">
        <w:t>frequently</w:t>
      </w:r>
      <w:r>
        <w:t xml:space="preserve"> in knee joints. Alternatively, MBS items specific to the knee may be used, but the descriptors are</w:t>
      </w:r>
      <w:r w:rsidR="009609ED">
        <w:t xml:space="preserve"> </w:t>
      </w:r>
      <w:r>
        <w:t>broad</w:t>
      </w:r>
      <w:r w:rsidR="001058DF">
        <w:t>er</w:t>
      </w:r>
      <w:r>
        <w:t xml:space="preserve"> (MBS item </w:t>
      </w:r>
      <w:r w:rsidRPr="00F05D94">
        <w:t>49584</w:t>
      </w:r>
      <w:r>
        <w:t>) or include a number of procedures of which only one may relate to osteochondral autografting (MBS items 49503 or 49506).</w:t>
      </w:r>
    </w:p>
    <w:p w14:paraId="4B49B335" w14:textId="784DFE7D" w:rsidR="004B55B9" w:rsidRDefault="007046DE" w:rsidP="004B55B9">
      <w:pPr>
        <w:pStyle w:val="Caption"/>
      </w:pPr>
      <w:bookmarkStart w:id="8" w:name="_Ref160721525"/>
      <w:r>
        <w:t xml:space="preserve">Table </w:t>
      </w:r>
      <w:r>
        <w:fldChar w:fldCharType="begin"/>
      </w:r>
      <w:r>
        <w:instrText xml:space="preserve"> SEQ Table \* ARABIC </w:instrText>
      </w:r>
      <w:r>
        <w:fldChar w:fldCharType="separate"/>
      </w:r>
      <w:r w:rsidR="00E602A3">
        <w:rPr>
          <w:noProof/>
        </w:rPr>
        <w:t>6</w:t>
      </w:r>
      <w:r>
        <w:fldChar w:fldCharType="end"/>
      </w:r>
      <w:bookmarkEnd w:id="8"/>
      <w:r>
        <w:tab/>
      </w:r>
      <w:r w:rsidR="00B455A1" w:rsidRPr="00B455A1">
        <w:t>Recent claims data for MBS</w:t>
      </w:r>
      <w:r w:rsidR="00B455A1">
        <w:t xml:space="preserve"> items used, or potentially used, to claim services for alternative surgical options</w:t>
      </w:r>
    </w:p>
    <w:tbl>
      <w:tblPr>
        <w:tblStyle w:val="TableGrid"/>
        <w:tblW w:w="0" w:type="auto"/>
        <w:tblLook w:val="04A0" w:firstRow="1" w:lastRow="0" w:firstColumn="1" w:lastColumn="0" w:noHBand="0" w:noVBand="1"/>
        <w:tblCaption w:val="Table 5 Recent claims data for MBS items used, or potentially used, to claim services for alternative surgical options"/>
        <w:tblDescription w:val="A table listing recent claims data for MBS items used, or potentially used, to claim services for alternative surgical options."/>
      </w:tblPr>
      <w:tblGrid>
        <w:gridCol w:w="988"/>
        <w:gridCol w:w="7512"/>
        <w:gridCol w:w="1071"/>
      </w:tblGrid>
      <w:tr w:rsidR="00FD7D5C" w14:paraId="11223FD6" w14:textId="77777777" w:rsidTr="008C40E8">
        <w:tc>
          <w:tcPr>
            <w:tcW w:w="988" w:type="dxa"/>
            <w:tcBorders>
              <w:bottom w:val="single" w:sz="4" w:space="0" w:color="auto"/>
            </w:tcBorders>
          </w:tcPr>
          <w:p w14:paraId="16981678" w14:textId="77777777" w:rsidR="008021B7" w:rsidRDefault="007046DE" w:rsidP="00BD6E6C">
            <w:pPr>
              <w:pStyle w:val="TableHeading"/>
            </w:pPr>
            <w:r>
              <w:t>MBS item</w:t>
            </w:r>
          </w:p>
        </w:tc>
        <w:tc>
          <w:tcPr>
            <w:tcW w:w="7512" w:type="dxa"/>
            <w:tcBorders>
              <w:bottom w:val="single" w:sz="4" w:space="0" w:color="auto"/>
            </w:tcBorders>
          </w:tcPr>
          <w:p w14:paraId="63A2AA72" w14:textId="25ECC9E1" w:rsidR="008021B7" w:rsidRDefault="007046DE" w:rsidP="00BD6E6C">
            <w:pPr>
              <w:pStyle w:val="TableHeading"/>
            </w:pPr>
            <w:r>
              <w:t>Descriptor</w:t>
            </w:r>
            <w:r w:rsidR="00F27558">
              <w:t xml:space="preserve"> excerpt</w:t>
            </w:r>
          </w:p>
        </w:tc>
        <w:tc>
          <w:tcPr>
            <w:tcW w:w="1071" w:type="dxa"/>
            <w:tcBorders>
              <w:bottom w:val="single" w:sz="4" w:space="0" w:color="auto"/>
            </w:tcBorders>
          </w:tcPr>
          <w:p w14:paraId="7271C1BC" w14:textId="6F4BFED4" w:rsidR="008021B7" w:rsidRDefault="007046DE" w:rsidP="00BD6E6C">
            <w:pPr>
              <w:pStyle w:val="TableHeading"/>
            </w:pPr>
            <w:r>
              <w:t>Claims in 2022/2023</w:t>
            </w:r>
          </w:p>
        </w:tc>
      </w:tr>
      <w:tr w:rsidR="00FD7D5C" w14:paraId="0127E943" w14:textId="77777777" w:rsidTr="008C40E8">
        <w:tc>
          <w:tcPr>
            <w:tcW w:w="988" w:type="dxa"/>
            <w:tcBorders>
              <w:right w:val="nil"/>
            </w:tcBorders>
          </w:tcPr>
          <w:p w14:paraId="7CE2DC12" w14:textId="77777777" w:rsidR="00F27558" w:rsidRPr="000C367A" w:rsidRDefault="00F27558" w:rsidP="00EB6D2E">
            <w:pPr>
              <w:pStyle w:val="TableText0"/>
              <w:keepNext/>
              <w:rPr>
                <w:b/>
                <w:bCs/>
              </w:rPr>
            </w:pPr>
          </w:p>
        </w:tc>
        <w:tc>
          <w:tcPr>
            <w:tcW w:w="7512" w:type="dxa"/>
            <w:tcBorders>
              <w:left w:val="nil"/>
              <w:right w:val="nil"/>
            </w:tcBorders>
          </w:tcPr>
          <w:p w14:paraId="26219DEB" w14:textId="4ED3B87D" w:rsidR="00F27558" w:rsidRPr="000C367A" w:rsidRDefault="007046DE" w:rsidP="00EB6D2E">
            <w:pPr>
              <w:pStyle w:val="TableText0"/>
              <w:keepNext/>
              <w:rPr>
                <w:b/>
                <w:bCs/>
              </w:rPr>
            </w:pPr>
            <w:r w:rsidRPr="000C367A">
              <w:rPr>
                <w:b/>
                <w:bCs/>
              </w:rPr>
              <w:t>Micro</w:t>
            </w:r>
            <w:r w:rsidR="000C367A" w:rsidRPr="000C367A">
              <w:rPr>
                <w:b/>
                <w:bCs/>
              </w:rPr>
              <w:t>f</w:t>
            </w:r>
            <w:r w:rsidRPr="000C367A">
              <w:rPr>
                <w:b/>
                <w:bCs/>
              </w:rPr>
              <w:t>racture</w:t>
            </w:r>
          </w:p>
        </w:tc>
        <w:tc>
          <w:tcPr>
            <w:tcW w:w="1071" w:type="dxa"/>
            <w:tcBorders>
              <w:left w:val="nil"/>
            </w:tcBorders>
          </w:tcPr>
          <w:p w14:paraId="72B4121D" w14:textId="77777777" w:rsidR="00F27558" w:rsidRPr="000C367A" w:rsidRDefault="00F27558" w:rsidP="00EB6D2E">
            <w:pPr>
              <w:pStyle w:val="TableText0"/>
              <w:keepNext/>
              <w:jc w:val="right"/>
              <w:rPr>
                <w:b/>
                <w:bCs/>
              </w:rPr>
            </w:pPr>
          </w:p>
        </w:tc>
      </w:tr>
      <w:tr w:rsidR="00FD7D5C" w14:paraId="04941894" w14:textId="77777777" w:rsidTr="008C40E8">
        <w:tc>
          <w:tcPr>
            <w:tcW w:w="988" w:type="dxa"/>
            <w:tcBorders>
              <w:bottom w:val="single" w:sz="4" w:space="0" w:color="auto"/>
            </w:tcBorders>
          </w:tcPr>
          <w:p w14:paraId="6B6BCDE6" w14:textId="25D7A802" w:rsidR="00E94526" w:rsidRDefault="007046DE" w:rsidP="00EB6D2E">
            <w:pPr>
              <w:pStyle w:val="TableText0"/>
              <w:keepNext/>
            </w:pPr>
            <w:r>
              <w:t>49576</w:t>
            </w:r>
          </w:p>
        </w:tc>
        <w:tc>
          <w:tcPr>
            <w:tcW w:w="7512" w:type="dxa"/>
            <w:tcBorders>
              <w:bottom w:val="single" w:sz="4" w:space="0" w:color="auto"/>
            </w:tcBorders>
          </w:tcPr>
          <w:p w14:paraId="6B7BFF07" w14:textId="77777777" w:rsidR="00F27558" w:rsidRDefault="007046DE" w:rsidP="00EB6D2E">
            <w:pPr>
              <w:pStyle w:val="TableText0"/>
              <w:keepNext/>
            </w:pPr>
            <w:r>
              <w:t>Repair of chondral lesion of knee, by arthroscopic means, including either or both of the following (if performed):</w:t>
            </w:r>
          </w:p>
          <w:p w14:paraId="0EF3A6E8" w14:textId="1EC75EC9" w:rsidR="00F27558" w:rsidRDefault="007046DE" w:rsidP="00EB6D2E">
            <w:pPr>
              <w:pStyle w:val="TableText0"/>
              <w:keepNext/>
            </w:pPr>
            <w:r>
              <w:t>(a) microfracture</w:t>
            </w:r>
          </w:p>
          <w:p w14:paraId="21C6DB41" w14:textId="11ADA22D" w:rsidR="00E94526" w:rsidRPr="00EB446C" w:rsidRDefault="007046DE" w:rsidP="00EB6D2E">
            <w:pPr>
              <w:pStyle w:val="TableText0"/>
              <w:keepNext/>
            </w:pPr>
            <w:r>
              <w:t>(b) microdrilling</w:t>
            </w:r>
          </w:p>
        </w:tc>
        <w:tc>
          <w:tcPr>
            <w:tcW w:w="1071" w:type="dxa"/>
            <w:tcBorders>
              <w:bottom w:val="single" w:sz="4" w:space="0" w:color="auto"/>
            </w:tcBorders>
          </w:tcPr>
          <w:p w14:paraId="64D61943" w14:textId="1B8E6F16" w:rsidR="00E94526" w:rsidRDefault="007046DE" w:rsidP="00EB6D2E">
            <w:pPr>
              <w:pStyle w:val="TableText0"/>
              <w:keepNext/>
              <w:jc w:val="right"/>
            </w:pPr>
            <w:r>
              <w:t>1,581</w:t>
            </w:r>
          </w:p>
        </w:tc>
      </w:tr>
      <w:tr w:rsidR="00FD7D5C" w14:paraId="46874586" w14:textId="77777777" w:rsidTr="008C40E8">
        <w:tc>
          <w:tcPr>
            <w:tcW w:w="988" w:type="dxa"/>
            <w:tcBorders>
              <w:right w:val="nil"/>
            </w:tcBorders>
          </w:tcPr>
          <w:p w14:paraId="44ABBD62" w14:textId="77777777" w:rsidR="000C367A" w:rsidRPr="00CB02A7" w:rsidRDefault="000C367A" w:rsidP="00EB6D2E">
            <w:pPr>
              <w:pStyle w:val="TableText0"/>
              <w:keepNext/>
              <w:rPr>
                <w:b/>
                <w:bCs/>
              </w:rPr>
            </w:pPr>
          </w:p>
        </w:tc>
        <w:tc>
          <w:tcPr>
            <w:tcW w:w="7512" w:type="dxa"/>
            <w:tcBorders>
              <w:left w:val="nil"/>
              <w:right w:val="nil"/>
            </w:tcBorders>
          </w:tcPr>
          <w:p w14:paraId="0B8D215C" w14:textId="2003B661" w:rsidR="000C367A" w:rsidRPr="00CB02A7" w:rsidRDefault="007046DE" w:rsidP="00EB6D2E">
            <w:pPr>
              <w:pStyle w:val="TableText0"/>
              <w:keepNext/>
              <w:rPr>
                <w:b/>
                <w:bCs/>
              </w:rPr>
            </w:pPr>
            <w:r>
              <w:rPr>
                <w:b/>
                <w:bCs/>
              </w:rPr>
              <w:t>MBS items that may be appropriate for o</w:t>
            </w:r>
            <w:r w:rsidRPr="00CB02A7">
              <w:rPr>
                <w:b/>
                <w:bCs/>
              </w:rPr>
              <w:t>steochondral autografting</w:t>
            </w:r>
            <w:r w:rsidR="00CB02A7" w:rsidRPr="00CB02A7">
              <w:rPr>
                <w:b/>
                <w:bCs/>
              </w:rPr>
              <w:t xml:space="preserve"> (including mosaicplasty)</w:t>
            </w:r>
          </w:p>
        </w:tc>
        <w:tc>
          <w:tcPr>
            <w:tcW w:w="1071" w:type="dxa"/>
            <w:tcBorders>
              <w:left w:val="nil"/>
            </w:tcBorders>
          </w:tcPr>
          <w:p w14:paraId="40458836" w14:textId="77777777" w:rsidR="000C367A" w:rsidRPr="00CB02A7" w:rsidRDefault="000C367A" w:rsidP="00EB6D2E">
            <w:pPr>
              <w:pStyle w:val="TableText0"/>
              <w:keepNext/>
              <w:jc w:val="right"/>
              <w:rPr>
                <w:b/>
                <w:bCs/>
              </w:rPr>
            </w:pPr>
          </w:p>
        </w:tc>
      </w:tr>
      <w:tr w:rsidR="00FD7D5C" w14:paraId="0870EA02" w14:textId="77777777" w:rsidTr="008C40E8">
        <w:tc>
          <w:tcPr>
            <w:tcW w:w="988" w:type="dxa"/>
          </w:tcPr>
          <w:p w14:paraId="69F7B601" w14:textId="77777777" w:rsidR="008021B7" w:rsidRDefault="007046DE" w:rsidP="00EB6D2E">
            <w:pPr>
              <w:pStyle w:val="TableText0"/>
              <w:keepNext/>
            </w:pPr>
            <w:r>
              <w:t>48251</w:t>
            </w:r>
          </w:p>
        </w:tc>
        <w:tc>
          <w:tcPr>
            <w:tcW w:w="7512" w:type="dxa"/>
          </w:tcPr>
          <w:p w14:paraId="5F0E2638" w14:textId="77777777" w:rsidR="008021B7" w:rsidRDefault="007046DE" w:rsidP="00EB6D2E">
            <w:pPr>
              <w:pStyle w:val="TableText0"/>
              <w:keepNext/>
            </w:pPr>
            <w:r w:rsidRPr="00EB446C">
              <w:t>Harvesting and insertion of osteochondral graft (autograft) via separate incisions at the same joint or joint complex</w:t>
            </w:r>
          </w:p>
        </w:tc>
        <w:tc>
          <w:tcPr>
            <w:tcW w:w="1071" w:type="dxa"/>
          </w:tcPr>
          <w:p w14:paraId="3CDD14BA" w14:textId="77777777" w:rsidR="008021B7" w:rsidRDefault="007046DE" w:rsidP="00EB6D2E">
            <w:pPr>
              <w:pStyle w:val="TableText0"/>
              <w:keepNext/>
              <w:jc w:val="right"/>
            </w:pPr>
            <w:r>
              <w:t>71</w:t>
            </w:r>
          </w:p>
        </w:tc>
      </w:tr>
      <w:tr w:rsidR="00FD7D5C" w14:paraId="7F744BAA" w14:textId="77777777" w:rsidTr="008C40E8">
        <w:tc>
          <w:tcPr>
            <w:tcW w:w="988" w:type="dxa"/>
          </w:tcPr>
          <w:p w14:paraId="6ECDF84F" w14:textId="77777777" w:rsidR="008021B7" w:rsidRDefault="007046DE" w:rsidP="00EB6D2E">
            <w:pPr>
              <w:pStyle w:val="TableText0"/>
              <w:keepNext/>
            </w:pPr>
            <w:r w:rsidRPr="00F05D94">
              <w:t>49584</w:t>
            </w:r>
          </w:p>
        </w:tc>
        <w:tc>
          <w:tcPr>
            <w:tcW w:w="7512" w:type="dxa"/>
          </w:tcPr>
          <w:p w14:paraId="6EBBE7A2" w14:textId="77777777" w:rsidR="008021B7" w:rsidRDefault="007046DE" w:rsidP="00EB6D2E">
            <w:pPr>
              <w:pStyle w:val="TableText0"/>
              <w:keepNext/>
            </w:pPr>
            <w:r w:rsidRPr="000C1D71">
              <w:t>Chondral, osteochondral or meniscal graft of knee, by arthroscopic means</w:t>
            </w:r>
          </w:p>
        </w:tc>
        <w:tc>
          <w:tcPr>
            <w:tcW w:w="1071" w:type="dxa"/>
          </w:tcPr>
          <w:p w14:paraId="39B21249" w14:textId="77777777" w:rsidR="008021B7" w:rsidRDefault="007046DE" w:rsidP="00EB6D2E">
            <w:pPr>
              <w:pStyle w:val="TableText0"/>
              <w:keepNext/>
              <w:jc w:val="right"/>
            </w:pPr>
            <w:r>
              <w:t>195</w:t>
            </w:r>
          </w:p>
        </w:tc>
      </w:tr>
      <w:tr w:rsidR="00FD7D5C" w14:paraId="31696EC9" w14:textId="77777777" w:rsidTr="008C40E8">
        <w:tc>
          <w:tcPr>
            <w:tcW w:w="988" w:type="dxa"/>
          </w:tcPr>
          <w:p w14:paraId="2B87AE19" w14:textId="77777777" w:rsidR="008021B7" w:rsidRDefault="007046DE" w:rsidP="00EB6D2E">
            <w:pPr>
              <w:pStyle w:val="TableText0"/>
              <w:keepNext/>
            </w:pPr>
            <w:r w:rsidRPr="00A46B72">
              <w:t>49503</w:t>
            </w:r>
          </w:p>
        </w:tc>
        <w:tc>
          <w:tcPr>
            <w:tcW w:w="7512" w:type="dxa"/>
          </w:tcPr>
          <w:p w14:paraId="0F2EB9F2" w14:textId="77777777" w:rsidR="008021B7" w:rsidRDefault="007046DE" w:rsidP="00EB6D2E">
            <w:pPr>
              <w:pStyle w:val="TableText0"/>
              <w:keepNext/>
            </w:pPr>
            <w:r w:rsidRPr="009A7580">
              <w:t xml:space="preserve">Arthrotomy of knee, including one of the following: </w:t>
            </w:r>
            <w:r>
              <w:br/>
              <w:t xml:space="preserve">(e) </w:t>
            </w:r>
            <w:r w:rsidRPr="004B5D0E">
              <w:t>repair or replacement of chondral or osteochondral surface (excluding prosthetic replacement)</w:t>
            </w:r>
          </w:p>
        </w:tc>
        <w:tc>
          <w:tcPr>
            <w:tcW w:w="1071" w:type="dxa"/>
          </w:tcPr>
          <w:p w14:paraId="0EA0299F" w14:textId="77777777" w:rsidR="008021B7" w:rsidRDefault="007046DE" w:rsidP="00EB6D2E">
            <w:pPr>
              <w:pStyle w:val="TableText0"/>
              <w:keepNext/>
              <w:jc w:val="right"/>
            </w:pPr>
            <w:r>
              <w:t>231</w:t>
            </w:r>
          </w:p>
        </w:tc>
      </w:tr>
      <w:tr w:rsidR="00FD7D5C" w14:paraId="216ED20C" w14:textId="77777777" w:rsidTr="008C40E8">
        <w:tc>
          <w:tcPr>
            <w:tcW w:w="988" w:type="dxa"/>
          </w:tcPr>
          <w:p w14:paraId="34CBED70" w14:textId="77777777" w:rsidR="008021B7" w:rsidRDefault="007046DE" w:rsidP="00BD6E6C">
            <w:pPr>
              <w:pStyle w:val="TableText0"/>
            </w:pPr>
            <w:r>
              <w:t>49506</w:t>
            </w:r>
          </w:p>
        </w:tc>
        <w:tc>
          <w:tcPr>
            <w:tcW w:w="7512" w:type="dxa"/>
          </w:tcPr>
          <w:p w14:paraId="0E60A20E" w14:textId="77777777" w:rsidR="008021B7" w:rsidRDefault="007046DE" w:rsidP="00BD6E6C">
            <w:pPr>
              <w:pStyle w:val="TableText0"/>
            </w:pPr>
            <w:r w:rsidRPr="0063792C">
              <w:t xml:space="preserve">Arthrotomy of knee, including 2 or more of the following: </w:t>
            </w:r>
            <w:r>
              <w:br/>
              <w:t xml:space="preserve">(e) </w:t>
            </w:r>
            <w:r w:rsidRPr="004B5D0E">
              <w:t>repair or replacement of chondral or osteochondral surface (excluding prosthetic replacement)</w:t>
            </w:r>
          </w:p>
        </w:tc>
        <w:tc>
          <w:tcPr>
            <w:tcW w:w="1071" w:type="dxa"/>
          </w:tcPr>
          <w:p w14:paraId="2C35A7B0" w14:textId="77777777" w:rsidR="008021B7" w:rsidRDefault="007046DE" w:rsidP="00BD6E6C">
            <w:pPr>
              <w:pStyle w:val="TableText0"/>
              <w:jc w:val="right"/>
            </w:pPr>
            <w:r>
              <w:t>193</w:t>
            </w:r>
          </w:p>
        </w:tc>
      </w:tr>
    </w:tbl>
    <w:p w14:paraId="337CD84C" w14:textId="6D6F05AD" w:rsidR="008021B7" w:rsidRDefault="007046DE" w:rsidP="00AE7A95">
      <w:pPr>
        <w:pStyle w:val="Tablenotes"/>
        <w:spacing w:after="0"/>
      </w:pPr>
      <w:r>
        <w:t>MBS = Medicare Benefits Schedule</w:t>
      </w:r>
    </w:p>
    <w:p w14:paraId="0E5EF634" w14:textId="6C17EFB2" w:rsidR="002B47F4" w:rsidRPr="002B47F4" w:rsidRDefault="007046DE" w:rsidP="002B47F4">
      <w:pPr>
        <w:pStyle w:val="Tablenotes"/>
        <w:spacing w:after="240"/>
      </w:pPr>
      <w:r>
        <w:t>Source: Services Australia Medicare item reports (accessed 27 September 2023)</w:t>
      </w:r>
      <w:r w:rsidR="00056547">
        <w:t xml:space="preserve"> </w:t>
      </w:r>
    </w:p>
    <w:p w14:paraId="21F4EB5C" w14:textId="1F47B950" w:rsidR="00D43A2A" w:rsidRDefault="007046DE" w:rsidP="00D43A2A">
      <w:pPr>
        <w:pStyle w:val="Heading4"/>
      </w:pPr>
      <w:r>
        <w:t>Comparators used in ongoing clinical trials</w:t>
      </w:r>
    </w:p>
    <w:p w14:paraId="3E2DBBEE" w14:textId="626CCED0" w:rsidR="00653269" w:rsidRPr="00653269" w:rsidRDefault="007046DE" w:rsidP="00653269">
      <w:pPr>
        <w:pStyle w:val="Heading5"/>
      </w:pPr>
      <w:r>
        <w:t>Mi</w:t>
      </w:r>
      <w:r w:rsidR="003F19F1">
        <w:t>cr</w:t>
      </w:r>
      <w:r>
        <w:t>ofracture</w:t>
      </w:r>
    </w:p>
    <w:p w14:paraId="0221A216" w14:textId="15C9C0EA" w:rsidR="00BA6624" w:rsidRPr="00BA6624" w:rsidRDefault="007046DE" w:rsidP="00BA6624">
      <w:r>
        <w:t xml:space="preserve">Most clinical trials of ACI </w:t>
      </w:r>
      <w:r w:rsidR="001972F6">
        <w:t xml:space="preserve">have </w:t>
      </w:r>
      <w:r w:rsidR="00F54BBA">
        <w:t xml:space="preserve">completed and </w:t>
      </w:r>
      <w:r w:rsidR="001972F6">
        <w:t xml:space="preserve">used </w:t>
      </w:r>
      <w:r>
        <w:t>microfracture as a comparator</w:t>
      </w:r>
      <w:r w:rsidR="00F54BBA">
        <w:t xml:space="preserve">. </w:t>
      </w:r>
      <w:r w:rsidR="00B54CBD">
        <w:t xml:space="preserve">A </w:t>
      </w:r>
      <w:r w:rsidR="00FB1C56">
        <w:t>cursory</w:t>
      </w:r>
      <w:r w:rsidR="00822D8F">
        <w:t xml:space="preserve"> </w:t>
      </w:r>
      <w:r w:rsidR="00B54CBD">
        <w:t xml:space="preserve">search identified </w:t>
      </w:r>
      <w:r w:rsidR="00C01874">
        <w:t>three</w:t>
      </w:r>
      <w:r w:rsidR="00B54CBD">
        <w:t xml:space="preserve"> ongoing trials</w:t>
      </w:r>
      <w:r w:rsidR="00FB1C56">
        <w:t xml:space="preserve"> using microfracture as the comparator</w:t>
      </w:r>
      <w:r w:rsidR="00B54CBD">
        <w:t xml:space="preserve">; one for </w:t>
      </w:r>
      <w:r w:rsidR="0087470A">
        <w:t>a matrix-assisted ACI</w:t>
      </w:r>
      <w:r w:rsidR="00C2465B">
        <w:t>,</w:t>
      </w:r>
      <w:r>
        <w:rPr>
          <w:rStyle w:val="FootnoteReference"/>
        </w:rPr>
        <w:footnoteReference w:id="9"/>
      </w:r>
      <w:r w:rsidR="00591848">
        <w:t xml:space="preserve"> one </w:t>
      </w:r>
      <w:r w:rsidR="00591848">
        <w:lastRenderedPageBreak/>
        <w:t xml:space="preserve">for </w:t>
      </w:r>
      <w:r w:rsidR="002D4C25">
        <w:t xml:space="preserve">matrix-assisted </w:t>
      </w:r>
      <w:r w:rsidR="00591848">
        <w:t>ACI in patients aged 10-17 years,</w:t>
      </w:r>
      <w:r>
        <w:rPr>
          <w:rStyle w:val="FootnoteReference"/>
        </w:rPr>
        <w:footnoteReference w:id="10"/>
      </w:r>
      <w:r w:rsidR="00591848">
        <w:t xml:space="preserve"> </w:t>
      </w:r>
      <w:r w:rsidR="0087470A">
        <w:t xml:space="preserve">and another for a fourth generation </w:t>
      </w:r>
      <w:r w:rsidR="00083C41">
        <w:t xml:space="preserve">ACI that does not use </w:t>
      </w:r>
      <w:r w:rsidR="007D76E1">
        <w:t>a collagen scaffold</w:t>
      </w:r>
      <w:r w:rsidR="00D278FE">
        <w:t>.</w:t>
      </w:r>
      <w:r>
        <w:rPr>
          <w:rStyle w:val="FootnoteReference"/>
        </w:rPr>
        <w:footnoteReference w:id="11"/>
      </w:r>
    </w:p>
    <w:p w14:paraId="702F586F" w14:textId="6EC24A5C" w:rsidR="008D194F" w:rsidRDefault="007046DE" w:rsidP="00C5505D">
      <w:pPr>
        <w:pStyle w:val="Heading5"/>
      </w:pPr>
      <w:r>
        <w:t>Mosaicplasty</w:t>
      </w:r>
    </w:p>
    <w:p w14:paraId="080CABAB" w14:textId="0CBF8D02" w:rsidR="008D194F" w:rsidRDefault="007046DE" w:rsidP="008D194F">
      <w:r>
        <w:t>The applicant listed one study of ACI versus mosaicplasty (</w:t>
      </w:r>
      <w:r w:rsidR="005E1B05">
        <w:t xml:space="preserve">Bently et al. 2012). A literature search identified another </w:t>
      </w:r>
      <w:r w:rsidR="00AB639A">
        <w:t>RCT</w:t>
      </w:r>
      <w:r w:rsidR="002E3603">
        <w:t xml:space="preserve"> comparing ACI with</w:t>
      </w:r>
      <w:r w:rsidR="00B56953">
        <w:t xml:space="preserve"> </w:t>
      </w:r>
      <w:r w:rsidR="002E3603">
        <w:t>mosaicplasty</w:t>
      </w:r>
      <w:r w:rsidR="00C15EDC">
        <w:t xml:space="preserve"> </w:t>
      </w:r>
      <w:r w:rsidR="00B061F7">
        <w:t>(</w:t>
      </w:r>
      <w:r w:rsidR="00E42BE4" w:rsidRPr="00E42BE4">
        <w:t>Clavé</w:t>
      </w:r>
      <w:r w:rsidR="00E42BE4">
        <w:t xml:space="preserve"> et al. 2016)</w:t>
      </w:r>
      <w:r w:rsidR="00B061F7">
        <w:t xml:space="preserve">. </w:t>
      </w:r>
      <w:r w:rsidR="00B0785D">
        <w:t>At two</w:t>
      </w:r>
      <w:r w:rsidR="00CE3003">
        <w:t xml:space="preserve">-year follow up, this study found superior outcomes in the mosaicplasty group, although it should be noted </w:t>
      </w:r>
      <w:r w:rsidR="00BF6AA0">
        <w:t xml:space="preserve">the </w:t>
      </w:r>
      <w:r w:rsidR="00FE56E8">
        <w:t xml:space="preserve">matrix used in this study was Cartipatch, which is a hydrogel scaffold, and the </w:t>
      </w:r>
      <w:r w:rsidR="00BF6AA0">
        <w:t xml:space="preserve">technique used in the </w:t>
      </w:r>
      <w:r w:rsidR="009D654A">
        <w:t>ACI group was not representative of typical ACI procedures</w:t>
      </w:r>
      <w:r w:rsidR="004933D8">
        <w:t xml:space="preserve"> (</w:t>
      </w:r>
      <w:r w:rsidR="00832ACA">
        <w:t>Cook</w:t>
      </w:r>
      <w:r w:rsidR="00433734">
        <w:t xml:space="preserve"> </w:t>
      </w:r>
      <w:r w:rsidR="00553E35">
        <w:t>et al. 2016).</w:t>
      </w:r>
      <w:r w:rsidR="00005418">
        <w:t xml:space="preserve">  </w:t>
      </w:r>
    </w:p>
    <w:p w14:paraId="6C9E2634" w14:textId="5634083A" w:rsidR="008D194F" w:rsidRDefault="007046DE" w:rsidP="008D194F">
      <w:pPr>
        <w:pStyle w:val="Heading5"/>
      </w:pPr>
      <w:r>
        <w:t>O</w:t>
      </w:r>
      <w:r w:rsidRPr="00D30605">
        <w:t>steochondral autograft transplantation</w:t>
      </w:r>
    </w:p>
    <w:p w14:paraId="2834F8D0" w14:textId="12B42355" w:rsidR="008D194F" w:rsidRPr="008D194F" w:rsidRDefault="007046DE" w:rsidP="008D194F">
      <w:r>
        <w:t xml:space="preserve">The applicant listed no studies that used OAT as a comparator. A literature search identified one </w:t>
      </w:r>
      <w:r w:rsidR="00AB639A">
        <w:t>RCT</w:t>
      </w:r>
      <w:r>
        <w:t xml:space="preserve"> using this comparator</w:t>
      </w:r>
      <w:r w:rsidR="00CE45A2">
        <w:t xml:space="preserve"> and reporting two-year outcomes</w:t>
      </w:r>
      <w:r w:rsidR="00C84825">
        <w:t xml:space="preserve"> (</w:t>
      </w:r>
      <w:r w:rsidR="00CE45A2">
        <w:t xml:space="preserve">Horas et al. 2003). </w:t>
      </w:r>
      <w:r w:rsidR="00021E97">
        <w:t xml:space="preserve">Given this study </w:t>
      </w:r>
      <w:r w:rsidR="009B57AA">
        <w:t xml:space="preserve">was </w:t>
      </w:r>
      <w:r w:rsidR="00021E97">
        <w:t xml:space="preserve">completed over twenty years ago, </w:t>
      </w:r>
      <w:r w:rsidR="00CE72F4">
        <w:t xml:space="preserve">the ACI </w:t>
      </w:r>
      <w:r w:rsidR="00021E97">
        <w:t>procedure</w:t>
      </w:r>
      <w:r w:rsidR="008B140D">
        <w:t xml:space="preserve"> used</w:t>
      </w:r>
      <w:r w:rsidR="00021E97">
        <w:t xml:space="preserve"> </w:t>
      </w:r>
      <w:r w:rsidR="00CE72F4">
        <w:t xml:space="preserve">may not be representative of current </w:t>
      </w:r>
      <w:r w:rsidR="00F57ADD">
        <w:t>generation</w:t>
      </w:r>
      <w:r w:rsidR="008B140D">
        <w:t xml:space="preserve"> ACI procedures</w:t>
      </w:r>
      <w:r w:rsidR="00CE72F4">
        <w:t>.</w:t>
      </w:r>
    </w:p>
    <w:p w14:paraId="2376D156" w14:textId="280202BA" w:rsidR="00C5505D" w:rsidRDefault="007046DE" w:rsidP="00C5505D">
      <w:pPr>
        <w:pStyle w:val="Heading5"/>
      </w:pPr>
      <w:r>
        <w:t>Conservative management</w:t>
      </w:r>
    </w:p>
    <w:p w14:paraId="7287CD58" w14:textId="5C58B868" w:rsidR="00B96C3A" w:rsidRDefault="007046DE" w:rsidP="00B96C3A">
      <w:r>
        <w:t xml:space="preserve">An ongoing trial of </w:t>
      </w:r>
      <w:r w:rsidR="00621B4F">
        <w:t>mat</w:t>
      </w:r>
      <w:r w:rsidR="00093688">
        <w:t>r</w:t>
      </w:r>
      <w:r w:rsidR="00621B4F">
        <w:t>ix-</w:t>
      </w:r>
      <w:r w:rsidR="005367F7">
        <w:t>assisted</w:t>
      </w:r>
      <w:r w:rsidR="00621B4F">
        <w:t xml:space="preserve"> </w:t>
      </w:r>
      <w:r>
        <w:t>ACI</w:t>
      </w:r>
      <w:r w:rsidR="00621B4F">
        <w:t xml:space="preserve"> (using Chondro Gide)</w:t>
      </w:r>
      <w:r>
        <w:t xml:space="preserve"> versus debridement plus physiotherapy (</w:t>
      </w:r>
      <w:r w:rsidRPr="00556A1A">
        <w:t>NCT02636881</w:t>
      </w:r>
      <w:r>
        <w:rPr>
          <w:rStyle w:val="FootnoteReference"/>
        </w:rPr>
        <w:footnoteReference w:id="12"/>
      </w:r>
      <w:r>
        <w:t xml:space="preserve">) is due to </w:t>
      </w:r>
      <w:r w:rsidR="00194708">
        <w:t xml:space="preserve">be </w:t>
      </w:r>
      <w:r w:rsidR="00512EEF">
        <w:t>complete</w:t>
      </w:r>
      <w:r w:rsidR="00194708">
        <w:t>d</w:t>
      </w:r>
      <w:r>
        <w:t xml:space="preserve"> in September 2024. The published protocol (Randsborg et al. 2016) describes the comparator as simple arthroscopic debridement and physiotherapy for osteochondral defects &gt; 2 cm², excluding patients with osteoarthritis. </w:t>
      </w:r>
      <w:r w:rsidR="005B0DBC">
        <w:t>D</w:t>
      </w:r>
      <w:r>
        <w:t xml:space="preserve">ebridement may be performed during diagnostic arthroscopy for cartilage lesions, prior to any decisions regarding surgical intervention, </w:t>
      </w:r>
      <w:r w:rsidR="005B0DBC">
        <w:t xml:space="preserve">so </w:t>
      </w:r>
      <w:r>
        <w:t xml:space="preserve">this study may provide evidence for the alternative comparator of </w:t>
      </w:r>
      <w:r w:rsidR="005671E7">
        <w:t>conservative treatment</w:t>
      </w:r>
      <w:r w:rsidR="00717C32">
        <w:t>, once published.</w:t>
      </w:r>
    </w:p>
    <w:p w14:paraId="0B2BAB37" w14:textId="016683AA" w:rsidR="0023176B" w:rsidRPr="00E052A2" w:rsidRDefault="007046DE" w:rsidP="0023176B">
      <w:pPr>
        <w:rPr>
          <w:i/>
          <w:iCs/>
        </w:rPr>
      </w:pPr>
      <w:r w:rsidRPr="00E052A2">
        <w:rPr>
          <w:i/>
          <w:iCs/>
        </w:rPr>
        <w:t>PASC noted that the nominated comparator was microfracture, which is currently MBS listed. PASC also noted that the last time MSAC considered an application for this indication (MSAC application 1578), microfracture was nominated as the comparator. However</w:t>
      </w:r>
      <w:r w:rsidR="001F21FD">
        <w:rPr>
          <w:i/>
          <w:iCs/>
        </w:rPr>
        <w:t>,</w:t>
      </w:r>
      <w:r w:rsidRPr="00E052A2">
        <w:rPr>
          <w:i/>
          <w:iCs/>
        </w:rPr>
        <w:t xml:space="preserve"> at that time, MSAC concluded there was insufficient evidence that microfracture was safe and effective and that clinical trial evidence addressing the safety and effectiveness of microfracture alone versus placebo was required. PASC recalled that the most recent prior PASC advice was that the appropriate comparator for matrix-assisted ACI was watchful waiting (with conservative management) for all lesions &gt; 2 cm² (PICO confirmation for MSAC application 1273). PASC also noted subsequent UK consensus guidance that recommends microfracture should not be used for lesions &gt; 4 cm². </w:t>
      </w:r>
    </w:p>
    <w:p w14:paraId="278C0D35" w14:textId="369FC2C5" w:rsidR="0023176B" w:rsidRPr="00E052A2" w:rsidRDefault="007046DE" w:rsidP="0023176B">
      <w:pPr>
        <w:rPr>
          <w:i/>
          <w:iCs/>
        </w:rPr>
      </w:pPr>
      <w:r w:rsidRPr="00E052A2">
        <w:rPr>
          <w:i/>
          <w:iCs/>
        </w:rPr>
        <w:t xml:space="preserve">The applicant’s clinical expert noted the well-established natural history of steady decline in patients with symptomatic chondral lesions managed with watchful waiting, leading to joint degeneration, and that there is published Australian data regarding this. The clinical expert was of the opinion that microfracture harms the subchondral plate, which is an integral part of the osteochondral unit. For lesions of &gt; 4 cm², microfracture failure rates were described as high, noting surgeons are less inclined to use it for such large lesions. Therefore, in the absence of any good surgical alternatives for lesions &gt; 4 cm², clinicians tend to adopt watchful waiting despite the unsatisfactory outcomes for patients. The applicant’s clinical expert considered there are no effective surgical comparators for the sub-population of patients with lesions </w:t>
      </w:r>
      <w:r w:rsidRPr="00E052A2">
        <w:rPr>
          <w:i/>
          <w:iCs/>
        </w:rPr>
        <w:lastRenderedPageBreak/>
        <w:t>&gt;</w:t>
      </w:r>
      <w:r w:rsidR="000428BF">
        <w:rPr>
          <w:i/>
          <w:iCs/>
        </w:rPr>
        <w:t> </w:t>
      </w:r>
      <w:r w:rsidRPr="00E052A2">
        <w:rPr>
          <w:i/>
          <w:iCs/>
        </w:rPr>
        <w:t>4</w:t>
      </w:r>
      <w:r w:rsidR="000428BF">
        <w:rPr>
          <w:i/>
          <w:iCs/>
        </w:rPr>
        <w:t> </w:t>
      </w:r>
      <w:r w:rsidRPr="00E052A2">
        <w:rPr>
          <w:i/>
          <w:iCs/>
        </w:rPr>
        <w:t>cm². The applicant’s clinical expert also noted that some patients in the SUMMIT RCT would have had multiple non-contiguous focal lesions, and therefore that not all patients reported as having a large total lesion area were treated for a single large lesion.</w:t>
      </w:r>
    </w:p>
    <w:p w14:paraId="2CE2234E" w14:textId="305FD99A" w:rsidR="0023176B" w:rsidRPr="00E052A2" w:rsidRDefault="007046DE" w:rsidP="0023176B">
      <w:pPr>
        <w:rPr>
          <w:i/>
          <w:iCs/>
        </w:rPr>
      </w:pPr>
      <w:r w:rsidRPr="00E052A2">
        <w:rPr>
          <w:i/>
          <w:iCs/>
        </w:rPr>
        <w:t>PASC asked the applicant whether it was known what proportion of presenting patients had lesions &gt;</w:t>
      </w:r>
      <w:r w:rsidR="00A41324">
        <w:rPr>
          <w:i/>
          <w:iCs/>
        </w:rPr>
        <w:t> </w:t>
      </w:r>
      <w:r w:rsidRPr="00E052A2">
        <w:rPr>
          <w:i/>
          <w:iCs/>
        </w:rPr>
        <w:t>4</w:t>
      </w:r>
      <w:r w:rsidR="00A41324">
        <w:rPr>
          <w:i/>
          <w:iCs/>
        </w:rPr>
        <w:t> </w:t>
      </w:r>
      <w:r w:rsidRPr="00E052A2">
        <w:rPr>
          <w:i/>
          <w:iCs/>
        </w:rPr>
        <w:t>cm². The applicant confirmed knowledge of an Australian publication reporting such data. The applicant’s clinical expert stated the majority of matrix-assisted ACI-treated lesions in Australia are between 2 cm² and 4 cm², with larger lesions typically progressing to joint replacement.</w:t>
      </w:r>
    </w:p>
    <w:p w14:paraId="7A7143DE" w14:textId="77777777" w:rsidR="0023176B" w:rsidRPr="00E052A2" w:rsidRDefault="007046DE" w:rsidP="0023176B">
      <w:pPr>
        <w:rPr>
          <w:i/>
          <w:iCs/>
        </w:rPr>
      </w:pPr>
      <w:r w:rsidRPr="00E052A2">
        <w:rPr>
          <w:i/>
          <w:iCs/>
        </w:rPr>
        <w:t>PASC advised that the population should include two subgroups based on lesion size with different comparators:</w:t>
      </w:r>
    </w:p>
    <w:p w14:paraId="6645A85D" w14:textId="49BC54C0" w:rsidR="0023176B" w:rsidRPr="00E052A2" w:rsidRDefault="007046DE" w:rsidP="00E052A2">
      <w:pPr>
        <w:pStyle w:val="ListParagraph"/>
        <w:numPr>
          <w:ilvl w:val="0"/>
          <w:numId w:val="36"/>
        </w:numPr>
        <w:rPr>
          <w:i/>
          <w:iCs/>
        </w:rPr>
      </w:pPr>
      <w:r w:rsidRPr="00E052A2">
        <w:rPr>
          <w:i/>
          <w:iCs/>
        </w:rPr>
        <w:t>2 cm² to 4 cm², for comparison with microfracture</w:t>
      </w:r>
    </w:p>
    <w:p w14:paraId="1958D66C" w14:textId="6A36DEF9" w:rsidR="0023176B" w:rsidRPr="00E052A2" w:rsidRDefault="007046DE" w:rsidP="00E052A2">
      <w:pPr>
        <w:pStyle w:val="ListParagraph"/>
        <w:numPr>
          <w:ilvl w:val="0"/>
          <w:numId w:val="36"/>
        </w:numPr>
        <w:rPr>
          <w:i/>
          <w:iCs/>
        </w:rPr>
      </w:pPr>
      <w:r w:rsidRPr="00E052A2">
        <w:rPr>
          <w:i/>
          <w:iCs/>
        </w:rPr>
        <w:t>&gt; 4 cm² to &lt; 20 cm², for comparison with watchful waiting (with conservative treatment).</w:t>
      </w:r>
    </w:p>
    <w:p w14:paraId="674EBC80" w14:textId="678355FF" w:rsidR="0023176B" w:rsidRPr="00E052A2" w:rsidRDefault="007046DE" w:rsidP="0023176B">
      <w:pPr>
        <w:rPr>
          <w:i/>
          <w:iCs/>
        </w:rPr>
      </w:pPr>
      <w:r w:rsidRPr="00E052A2">
        <w:rPr>
          <w:i/>
          <w:iCs/>
        </w:rPr>
        <w:t>PASC noted there may be a lack of trial data for watchful waiting and therefore, the comparison of matrix-assisted ACI versus watchful waiting may have to be informed using observational data for the comparator of watchful waiting.</w:t>
      </w:r>
    </w:p>
    <w:p w14:paraId="56FB005C" w14:textId="4DEE38D5" w:rsidR="0023176B" w:rsidRPr="00E052A2" w:rsidRDefault="007046DE" w:rsidP="0023176B">
      <w:pPr>
        <w:rPr>
          <w:i/>
          <w:iCs/>
        </w:rPr>
      </w:pPr>
      <w:r w:rsidRPr="00E052A2">
        <w:rPr>
          <w:i/>
          <w:iCs/>
        </w:rPr>
        <w:t>PASC noted that concerns about microfracture have been raised by MSAC and/or PASC each of the four times this indication has come before them. PASC noted that while MSAC had previously advised that a</w:t>
      </w:r>
      <w:r w:rsidR="009768E6">
        <w:rPr>
          <w:i/>
          <w:iCs/>
        </w:rPr>
        <w:t>n</w:t>
      </w:r>
      <w:r w:rsidRPr="00E052A2">
        <w:rPr>
          <w:i/>
          <w:iCs/>
        </w:rPr>
        <w:t xml:space="preserve"> </w:t>
      </w:r>
      <w:r w:rsidR="009768E6">
        <w:rPr>
          <w:i/>
          <w:iCs/>
        </w:rPr>
        <w:t>RCT</w:t>
      </w:r>
      <w:r w:rsidRPr="00E052A2">
        <w:rPr>
          <w:i/>
          <w:iCs/>
        </w:rPr>
        <w:t xml:space="preserve"> of microfracture alone versus placebo should be undertaken to establish the benefit of microfracture, it appeared that no such trial has been undertaken. PASC advised the uncertainty in the safety and effectiveness of microfracture raised by MSAC may impact the evaluation of matrix-assisted ACI where microfracture is used as a comparator.</w:t>
      </w:r>
    </w:p>
    <w:p w14:paraId="29C1EA87" w14:textId="18DD07FA" w:rsidR="007A66C8" w:rsidRPr="008F1532" w:rsidRDefault="007046DE" w:rsidP="00713728">
      <w:pPr>
        <w:pStyle w:val="Heading3"/>
      </w:pPr>
      <w:r w:rsidRPr="008F1532">
        <w:t xml:space="preserve">Outcomes </w:t>
      </w:r>
    </w:p>
    <w:p w14:paraId="0AD6B4B9" w14:textId="5094CE49" w:rsidR="00714369" w:rsidRDefault="007046DE" w:rsidP="000C5875">
      <w:r>
        <w:t xml:space="preserve">The outcomes proposed to assess the clinical claims are shown in </w:t>
      </w:r>
      <w:r w:rsidR="005E43D4">
        <w:fldChar w:fldCharType="begin"/>
      </w:r>
      <w:r w:rsidR="005E43D4">
        <w:instrText xml:space="preserve"> REF _Ref160484976 \h </w:instrText>
      </w:r>
      <w:r w:rsidR="005E43D4">
        <w:fldChar w:fldCharType="separate"/>
      </w:r>
      <w:r w:rsidR="00E602A3">
        <w:t xml:space="preserve">Table </w:t>
      </w:r>
      <w:r w:rsidR="00E602A3">
        <w:rPr>
          <w:noProof/>
        </w:rPr>
        <w:t>7</w:t>
      </w:r>
      <w:r w:rsidR="005E43D4">
        <w:fldChar w:fldCharType="end"/>
      </w:r>
      <w:r w:rsidR="005E43D4">
        <w:t>.</w:t>
      </w:r>
      <w:r w:rsidR="00020B35">
        <w:t xml:space="preserve"> </w:t>
      </w:r>
      <w:r w:rsidR="00D53478">
        <w:t xml:space="preserve">There are a number of </w:t>
      </w:r>
      <w:r w:rsidR="00D53478" w:rsidRPr="008F67F2">
        <w:t>knee-specific functional measures</w:t>
      </w:r>
      <w:r w:rsidR="00D53478">
        <w:t xml:space="preserve"> that are appropriate to </w:t>
      </w:r>
      <w:r w:rsidR="00515A99">
        <w:t xml:space="preserve">establish the patient-relevant </w:t>
      </w:r>
      <w:r w:rsidR="003D2D3F">
        <w:t>comparative benefits of ACI and comparator interventions.</w:t>
      </w:r>
      <w:r w:rsidR="00A42F3F">
        <w:t xml:space="preserve"> </w:t>
      </w:r>
      <w:r w:rsidR="00B77CEE">
        <w:t xml:space="preserve">Rates of progression </w:t>
      </w:r>
      <w:r w:rsidR="005D75B9">
        <w:t xml:space="preserve">through the clinical pathway </w:t>
      </w:r>
      <w:r w:rsidR="00B77CEE">
        <w:t xml:space="preserve">to </w:t>
      </w:r>
      <w:r w:rsidR="000529B5" w:rsidRPr="008F67F2">
        <w:t>total or partial knee arthroplasty</w:t>
      </w:r>
      <w:r w:rsidR="000529B5">
        <w:t xml:space="preserve"> will</w:t>
      </w:r>
      <w:r w:rsidR="00F77B8F">
        <w:t xml:space="preserve"> be an important outcome to</w:t>
      </w:r>
      <w:r w:rsidR="000529B5">
        <w:t xml:space="preserve"> inform the economic analysis.</w:t>
      </w:r>
    </w:p>
    <w:p w14:paraId="04ECA45C" w14:textId="634F4C66" w:rsidR="00B31A5F" w:rsidRDefault="007046DE" w:rsidP="000C5875">
      <w:r>
        <w:t xml:space="preserve">The application classifies treatment failure as a </w:t>
      </w:r>
      <w:r w:rsidR="00782A19">
        <w:t>safety outcome (harm)</w:t>
      </w:r>
      <w:r w:rsidR="00C10830">
        <w:t xml:space="preserve">, but </w:t>
      </w:r>
      <w:r w:rsidR="005A68C7">
        <w:t xml:space="preserve">it </w:t>
      </w:r>
      <w:r w:rsidR="00C10830">
        <w:t xml:space="preserve">is </w:t>
      </w:r>
      <w:r w:rsidR="00166F7F">
        <w:t xml:space="preserve">classified </w:t>
      </w:r>
      <w:r w:rsidR="00C10830">
        <w:t>here</w:t>
      </w:r>
      <w:r w:rsidR="00902406">
        <w:t>in</w:t>
      </w:r>
      <w:r w:rsidR="00C10830">
        <w:t xml:space="preserve"> as an efficacy outcome</w:t>
      </w:r>
      <w:r>
        <w:t xml:space="preserve">. </w:t>
      </w:r>
      <w:r w:rsidR="00645EA5">
        <w:t>Treatment failure may be variously defined</w:t>
      </w:r>
      <w:r w:rsidR="006D4850">
        <w:t>:</w:t>
      </w:r>
      <w:r w:rsidR="002D36CB">
        <w:t xml:space="preserve"> </w:t>
      </w:r>
      <w:r w:rsidR="00765918">
        <w:t>subsequent surgery to treat</w:t>
      </w:r>
      <w:r w:rsidR="006E783E">
        <w:t xml:space="preserve"> the</w:t>
      </w:r>
      <w:r w:rsidR="00765918">
        <w:t xml:space="preserve"> index lesion</w:t>
      </w:r>
      <w:r w:rsidR="006D4850">
        <w:t>;</w:t>
      </w:r>
      <w:r w:rsidR="00EB72C8">
        <w:t xml:space="preserve"> </w:t>
      </w:r>
      <w:r w:rsidR="0017745F">
        <w:t xml:space="preserve">failure to achieve a pre-specified threshold </w:t>
      </w:r>
      <w:r w:rsidR="0079359C">
        <w:t>for</w:t>
      </w:r>
      <w:r w:rsidR="0017745F">
        <w:t xml:space="preserve"> a functional or symptom measure</w:t>
      </w:r>
      <w:r w:rsidR="006D4850">
        <w:t>;</w:t>
      </w:r>
      <w:r w:rsidR="00F01F73">
        <w:t xml:space="preserve"> or a </w:t>
      </w:r>
      <w:r w:rsidR="0079359C">
        <w:t>compound outcome</w:t>
      </w:r>
      <w:r w:rsidR="00FD0960">
        <w:t xml:space="preserve"> </w:t>
      </w:r>
      <w:r w:rsidR="00F01F73">
        <w:t>of functional</w:t>
      </w:r>
      <w:r w:rsidR="008725D3">
        <w:t xml:space="preserve"> measures</w:t>
      </w:r>
      <w:r w:rsidR="0079359C">
        <w:t xml:space="preserve"> and</w:t>
      </w:r>
      <w:r w:rsidR="00D33A55">
        <w:t xml:space="preserve">/or </w:t>
      </w:r>
      <w:r w:rsidR="0075146C">
        <w:t>pain</w:t>
      </w:r>
      <w:r w:rsidR="00D33A55">
        <w:t xml:space="preserve"> measures and/</w:t>
      </w:r>
      <w:r w:rsidR="0075146C">
        <w:t xml:space="preserve">or </w:t>
      </w:r>
      <w:r w:rsidR="00D33A55">
        <w:t xml:space="preserve">requirement for </w:t>
      </w:r>
      <w:r w:rsidR="0075146C">
        <w:t>retreatment.</w:t>
      </w:r>
      <w:r w:rsidR="00EB72C8">
        <w:t xml:space="preserve"> </w:t>
      </w:r>
    </w:p>
    <w:p w14:paraId="583C666E" w14:textId="730F5455" w:rsidR="00A95B0F" w:rsidRDefault="007046DE" w:rsidP="00256A5C">
      <w:pPr>
        <w:keepNext/>
        <w:spacing w:after="0"/>
      </w:pPr>
      <w:r>
        <w:t>For example, t</w:t>
      </w:r>
      <w:r w:rsidR="008725D3">
        <w:t>reatment failure was a compound outcome i</w:t>
      </w:r>
      <w:r w:rsidR="000C5875">
        <w:t>n the SUMMIT</w:t>
      </w:r>
      <w:r w:rsidR="00272FF7">
        <w:t xml:space="preserve"> RCT</w:t>
      </w:r>
      <w:r w:rsidR="00FD0960">
        <w:t xml:space="preserve">, </w:t>
      </w:r>
      <w:r w:rsidR="000C5875">
        <w:t>defined as</w:t>
      </w:r>
      <w:r w:rsidR="00E721CD">
        <w:t xml:space="preserve"> the following</w:t>
      </w:r>
      <w:r w:rsidR="00166F7F">
        <w:t xml:space="preserve"> </w:t>
      </w:r>
      <w:r w:rsidR="000C5875" w:rsidRPr="0024573A">
        <w:t xml:space="preserve">at any time after </w:t>
      </w:r>
      <w:r w:rsidR="00166F7F" w:rsidRPr="0024573A">
        <w:t xml:space="preserve">Week </w:t>
      </w:r>
      <w:r w:rsidR="000C5875" w:rsidRPr="0024573A">
        <w:t>24</w:t>
      </w:r>
      <w:r w:rsidR="00E721CD">
        <w:t>:</w:t>
      </w:r>
    </w:p>
    <w:p w14:paraId="537340B9" w14:textId="77777777" w:rsidR="00A95B0F" w:rsidRDefault="007046DE" w:rsidP="00273D69">
      <w:pPr>
        <w:pStyle w:val="ListParagraph"/>
        <w:numPr>
          <w:ilvl w:val="0"/>
          <w:numId w:val="23"/>
        </w:numPr>
      </w:pPr>
      <w:r w:rsidRPr="0024573A">
        <w:t>the patient and physician global assessment result was the same as or worse than at baseline</w:t>
      </w:r>
    </w:p>
    <w:p w14:paraId="45980974" w14:textId="77777777" w:rsidR="00A95B0F" w:rsidRDefault="007046DE" w:rsidP="00273D69">
      <w:pPr>
        <w:pStyle w:val="ListParagraph"/>
        <w:numPr>
          <w:ilvl w:val="0"/>
          <w:numId w:val="23"/>
        </w:numPr>
      </w:pPr>
      <w:r w:rsidRPr="0024573A">
        <w:t>a &lt;10% improvement in the KOOS pain subscale</w:t>
      </w:r>
    </w:p>
    <w:p w14:paraId="4B6210A6" w14:textId="45537614" w:rsidR="00A95B0F" w:rsidRDefault="007046DE" w:rsidP="00273D69">
      <w:pPr>
        <w:pStyle w:val="ListParagraph"/>
        <w:numPr>
          <w:ilvl w:val="0"/>
          <w:numId w:val="23"/>
        </w:numPr>
      </w:pPr>
      <w:r w:rsidRPr="0024573A">
        <w:t>physician-diagnosed failure ruling out all other potential causes</w:t>
      </w:r>
    </w:p>
    <w:p w14:paraId="0C063B90" w14:textId="59E9B87A" w:rsidR="000C5875" w:rsidRDefault="007046DE" w:rsidP="00273D69">
      <w:pPr>
        <w:pStyle w:val="ListParagraph"/>
        <w:numPr>
          <w:ilvl w:val="0"/>
          <w:numId w:val="23"/>
        </w:numPr>
      </w:pPr>
      <w:r w:rsidRPr="00A95B0F">
        <w:t>the physician deciding that surgical retreatment was needed.</w:t>
      </w:r>
    </w:p>
    <w:p w14:paraId="69E7A0FA" w14:textId="0B3DBD53" w:rsidR="00673503" w:rsidRPr="00BB19D2" w:rsidRDefault="007046DE" w:rsidP="00673503">
      <w:r w:rsidRPr="00F520B4">
        <w:t>Analyses should include responder analyses in addition to differences in mean change from baseline.</w:t>
      </w:r>
    </w:p>
    <w:p w14:paraId="0EC73EDC" w14:textId="2FAE7E03" w:rsidR="00805895" w:rsidRDefault="007046DE" w:rsidP="00805895">
      <w:pPr>
        <w:pStyle w:val="Caption"/>
      </w:pPr>
      <w:bookmarkStart w:id="9" w:name="_Ref160484976"/>
      <w:r>
        <w:lastRenderedPageBreak/>
        <w:t xml:space="preserve">Table </w:t>
      </w:r>
      <w:r>
        <w:fldChar w:fldCharType="begin"/>
      </w:r>
      <w:r>
        <w:instrText xml:space="preserve"> SEQ Table \* ARABIC </w:instrText>
      </w:r>
      <w:r>
        <w:fldChar w:fldCharType="separate"/>
      </w:r>
      <w:r w:rsidR="00E602A3">
        <w:rPr>
          <w:noProof/>
        </w:rPr>
        <w:t>7</w:t>
      </w:r>
      <w:r>
        <w:fldChar w:fldCharType="end"/>
      </w:r>
      <w:bookmarkEnd w:id="9"/>
      <w:r>
        <w:tab/>
        <w:t>Proposed outcomes</w:t>
      </w:r>
    </w:p>
    <w:tbl>
      <w:tblPr>
        <w:tblStyle w:val="TableGrid"/>
        <w:tblW w:w="0" w:type="auto"/>
        <w:tblLook w:val="04A0" w:firstRow="1" w:lastRow="0" w:firstColumn="1" w:lastColumn="0" w:noHBand="0" w:noVBand="1"/>
        <w:tblCaption w:val="Table 6 Proposed outcomes"/>
        <w:tblDescription w:val="A table listing proposed outcomes that could be used in the assessment report."/>
      </w:tblPr>
      <w:tblGrid>
        <w:gridCol w:w="1555"/>
        <w:gridCol w:w="8016"/>
      </w:tblGrid>
      <w:tr w:rsidR="00FD7D5C" w14:paraId="7D5FBFC9" w14:textId="77777777" w:rsidTr="00E30F06">
        <w:trPr>
          <w:tblHeader/>
        </w:trPr>
        <w:tc>
          <w:tcPr>
            <w:tcW w:w="1555" w:type="dxa"/>
          </w:tcPr>
          <w:p w14:paraId="3BA8DA6F" w14:textId="5C588BB6" w:rsidR="008F67F2" w:rsidRPr="008F67F2" w:rsidRDefault="007046DE" w:rsidP="008F67F2">
            <w:pPr>
              <w:pStyle w:val="TableHeading"/>
            </w:pPr>
            <w:r>
              <w:t>Outcome type</w:t>
            </w:r>
          </w:p>
        </w:tc>
        <w:tc>
          <w:tcPr>
            <w:tcW w:w="8016" w:type="dxa"/>
          </w:tcPr>
          <w:p w14:paraId="57D0B940" w14:textId="44D64FA3" w:rsidR="008F67F2" w:rsidRPr="008F67F2" w:rsidRDefault="007046DE" w:rsidP="008F67F2">
            <w:pPr>
              <w:pStyle w:val="TableHeading"/>
            </w:pPr>
            <w:r>
              <w:t>Outcome</w:t>
            </w:r>
          </w:p>
        </w:tc>
      </w:tr>
      <w:tr w:rsidR="00FD7D5C" w14:paraId="0ADE2E7C" w14:textId="77777777" w:rsidTr="00466B4E">
        <w:tc>
          <w:tcPr>
            <w:tcW w:w="1555" w:type="dxa"/>
          </w:tcPr>
          <w:p w14:paraId="507C7F01" w14:textId="59AEF03C" w:rsidR="008F67F2" w:rsidRPr="008F67F2" w:rsidRDefault="007046DE" w:rsidP="008F67F2">
            <w:pPr>
              <w:pStyle w:val="TableText0"/>
            </w:pPr>
            <w:r w:rsidRPr="008F67F2">
              <w:t>Safety</w:t>
            </w:r>
          </w:p>
        </w:tc>
        <w:tc>
          <w:tcPr>
            <w:tcW w:w="8016" w:type="dxa"/>
          </w:tcPr>
          <w:p w14:paraId="6A667083" w14:textId="718DE06A" w:rsidR="008F67F2" w:rsidRDefault="007046DE" w:rsidP="008F67F2">
            <w:pPr>
              <w:pStyle w:val="TableText0"/>
            </w:pPr>
            <w:r w:rsidRPr="008F67F2">
              <w:t>Serious adverse events</w:t>
            </w:r>
            <w:r>
              <w:t xml:space="preserve"> (e.g. </w:t>
            </w:r>
            <w:r w:rsidRPr="008F67F2">
              <w:t>arthralgia, cartilage injury, meniscus injury</w:t>
            </w:r>
            <w:r>
              <w:t xml:space="preserve">, </w:t>
            </w:r>
            <w:r w:rsidRPr="008F67F2">
              <w:t>development of osteoarthritis</w:t>
            </w:r>
            <w:r w:rsidR="00472DD1">
              <w:t>)</w:t>
            </w:r>
          </w:p>
          <w:p w14:paraId="43AD9C54" w14:textId="77777777" w:rsidR="00354845" w:rsidRDefault="007046DE" w:rsidP="008F67F2">
            <w:pPr>
              <w:pStyle w:val="TableText0"/>
            </w:pPr>
            <w:r w:rsidRPr="008F67F2">
              <w:t>Device-related adverse events</w:t>
            </w:r>
            <w:r w:rsidR="00472DD1">
              <w:t xml:space="preserve"> (e.g. </w:t>
            </w:r>
            <w:r w:rsidR="007A51CA">
              <w:t>graft hypertrophy</w:t>
            </w:r>
            <w:r w:rsidR="00842454">
              <w:t>)</w:t>
            </w:r>
          </w:p>
          <w:p w14:paraId="1DE23A2A" w14:textId="0A47EAD4" w:rsidR="008E39D6" w:rsidRPr="008F67F2" w:rsidRDefault="007046DE" w:rsidP="008F67F2">
            <w:pPr>
              <w:pStyle w:val="TableText0"/>
            </w:pPr>
            <w:r>
              <w:t xml:space="preserve">Surgery-related adverse events </w:t>
            </w:r>
            <w:r w:rsidR="008E7FD9">
              <w:t xml:space="preserve">(including </w:t>
            </w:r>
            <w:r w:rsidR="00791904">
              <w:t>additional general ana</w:t>
            </w:r>
            <w:r w:rsidR="00CE17ED">
              <w:t>esthesia compared to comparators)</w:t>
            </w:r>
          </w:p>
        </w:tc>
      </w:tr>
      <w:tr w:rsidR="00FD7D5C" w14:paraId="05DF1FEB" w14:textId="77777777" w:rsidTr="00466B4E">
        <w:tc>
          <w:tcPr>
            <w:tcW w:w="1555" w:type="dxa"/>
          </w:tcPr>
          <w:p w14:paraId="35CB3AC1" w14:textId="177DC503" w:rsidR="008F67F2" w:rsidRPr="008F67F2" w:rsidRDefault="007046DE" w:rsidP="008F67F2">
            <w:pPr>
              <w:pStyle w:val="TableText0"/>
            </w:pPr>
            <w:r>
              <w:t xml:space="preserve">Patient-relevant </w:t>
            </w:r>
            <w:r w:rsidRPr="008F67F2">
              <w:t>effectiveness</w:t>
            </w:r>
          </w:p>
        </w:tc>
        <w:tc>
          <w:tcPr>
            <w:tcW w:w="8016" w:type="dxa"/>
          </w:tcPr>
          <w:p w14:paraId="290EAF3D" w14:textId="25A6CB8E" w:rsidR="00466B4E" w:rsidRDefault="007046DE" w:rsidP="008F67F2">
            <w:pPr>
              <w:pStyle w:val="TableText0"/>
            </w:pPr>
            <w:r>
              <w:t>K</w:t>
            </w:r>
            <w:r w:rsidRPr="008F67F2">
              <w:t>nee</w:t>
            </w:r>
            <w:r w:rsidR="008F67F2" w:rsidRPr="008F67F2">
              <w:t>-specific functional measures</w:t>
            </w:r>
            <w:r>
              <w:rPr>
                <w:rStyle w:val="CommentReference"/>
                <w:rFonts w:ascii="Calibri" w:eastAsia="Calibri" w:hAnsi="Calibri" w:cs="Times New Roman"/>
              </w:rPr>
              <w:t xml:space="preserve"> </w:t>
            </w:r>
            <w:r w:rsidR="008F67F2" w:rsidRPr="008F67F2">
              <w:t xml:space="preserve">such as: </w:t>
            </w:r>
          </w:p>
          <w:p w14:paraId="2C6370F4" w14:textId="77777777" w:rsidR="00466B4E" w:rsidRDefault="007046DE" w:rsidP="00466B4E">
            <w:pPr>
              <w:pStyle w:val="TableText0"/>
              <w:numPr>
                <w:ilvl w:val="0"/>
                <w:numId w:val="22"/>
              </w:numPr>
              <w:ind w:left="283" w:hanging="170"/>
            </w:pPr>
            <w:r w:rsidRPr="008F67F2">
              <w:t>Knee Injury and Osteoarthritis Outcome Score (KOOS)</w:t>
            </w:r>
          </w:p>
          <w:p w14:paraId="5B3892FD" w14:textId="03525C42" w:rsidR="00D6372D" w:rsidRDefault="007046DE" w:rsidP="00466B4E">
            <w:pPr>
              <w:pStyle w:val="TableText0"/>
              <w:numPr>
                <w:ilvl w:val="0"/>
                <w:numId w:val="22"/>
              </w:numPr>
              <w:ind w:left="283" w:hanging="170"/>
            </w:pPr>
            <w:r w:rsidRPr="008F67F2">
              <w:t xml:space="preserve">Lysholm </w:t>
            </w:r>
            <w:r w:rsidR="00DD022A" w:rsidRPr="008F67F2">
              <w:t>Knee Score</w:t>
            </w:r>
          </w:p>
          <w:p w14:paraId="6D426CD3" w14:textId="5853A1D5" w:rsidR="00466B4E" w:rsidRDefault="007046DE" w:rsidP="00466B4E">
            <w:pPr>
              <w:pStyle w:val="TableText0"/>
              <w:numPr>
                <w:ilvl w:val="0"/>
                <w:numId w:val="22"/>
              </w:numPr>
              <w:ind w:left="283" w:hanging="170"/>
            </w:pPr>
            <w:r w:rsidRPr="008F67F2">
              <w:t xml:space="preserve">Tegner </w:t>
            </w:r>
            <w:r w:rsidR="00DD022A" w:rsidRPr="008F67F2">
              <w:t>Activity Level Scale</w:t>
            </w:r>
          </w:p>
          <w:p w14:paraId="40864F61" w14:textId="2ACCDC1D" w:rsidR="00466B4E" w:rsidRDefault="007046DE" w:rsidP="00466B4E">
            <w:pPr>
              <w:pStyle w:val="TableText0"/>
              <w:numPr>
                <w:ilvl w:val="0"/>
                <w:numId w:val="22"/>
              </w:numPr>
              <w:ind w:left="283" w:hanging="170"/>
            </w:pPr>
            <w:r w:rsidRPr="008F67F2">
              <w:t xml:space="preserve">Cincinnati </w:t>
            </w:r>
            <w:r w:rsidR="00DD022A" w:rsidRPr="008F67F2">
              <w:t>Knee Rating Score</w:t>
            </w:r>
            <w:r w:rsidR="00DD022A">
              <w:t xml:space="preserve"> (CKRS)</w:t>
            </w:r>
          </w:p>
          <w:p w14:paraId="2E00E8C0" w14:textId="0B8F70C1" w:rsidR="008F67F2" w:rsidRDefault="007046DE" w:rsidP="00466B4E">
            <w:pPr>
              <w:pStyle w:val="TableText0"/>
              <w:numPr>
                <w:ilvl w:val="0"/>
                <w:numId w:val="22"/>
              </w:numPr>
              <w:ind w:left="283" w:hanging="170"/>
            </w:pPr>
            <w:r w:rsidRPr="008F67F2">
              <w:t xml:space="preserve">International Knee Documentation Committee (IKDC) </w:t>
            </w:r>
            <w:r w:rsidR="00DD022A">
              <w:t>Subjective Knee Score</w:t>
            </w:r>
          </w:p>
          <w:p w14:paraId="170BAAD0" w14:textId="77777777" w:rsidR="00466B4E" w:rsidRDefault="007046DE" w:rsidP="00466B4E">
            <w:pPr>
              <w:pStyle w:val="TableText0"/>
              <w:spacing w:before="120"/>
            </w:pPr>
            <w:r w:rsidRPr="008F67F2">
              <w:t>Other functional outcomes such as the ‘Six-minute walk test’</w:t>
            </w:r>
          </w:p>
          <w:p w14:paraId="5C7108EE" w14:textId="77777777" w:rsidR="00466B4E" w:rsidRDefault="007046DE" w:rsidP="00466B4E">
            <w:pPr>
              <w:pStyle w:val="TableText0"/>
              <w:spacing w:before="120"/>
            </w:pPr>
            <w:r w:rsidRPr="008F67F2">
              <w:t>Quality-of-life measures such as EQ-5D and SF-36</w:t>
            </w:r>
          </w:p>
          <w:p w14:paraId="2A90EACF" w14:textId="77777777" w:rsidR="00576595" w:rsidRDefault="007046DE" w:rsidP="00466B4E">
            <w:pPr>
              <w:pStyle w:val="TableText0"/>
              <w:spacing w:before="120"/>
            </w:pPr>
            <w:r w:rsidRPr="008F67F2">
              <w:t>Pain measures (e.g. VAS)</w:t>
            </w:r>
          </w:p>
          <w:p w14:paraId="396AD007" w14:textId="7468ECE1" w:rsidR="007C74BE" w:rsidRDefault="007046DE" w:rsidP="00466B4E">
            <w:pPr>
              <w:pStyle w:val="TableText0"/>
              <w:spacing w:before="120"/>
            </w:pPr>
            <w:r w:rsidRPr="008F67F2">
              <w:t>Subsequent procedures</w:t>
            </w:r>
            <w:r w:rsidR="00D6372D">
              <w:t>:</w:t>
            </w:r>
          </w:p>
          <w:p w14:paraId="1ADD057C" w14:textId="76B39A89" w:rsidR="00060467" w:rsidRDefault="007046DE" w:rsidP="007C74BE">
            <w:pPr>
              <w:pStyle w:val="TableText0"/>
              <w:numPr>
                <w:ilvl w:val="0"/>
                <w:numId w:val="22"/>
              </w:numPr>
              <w:ind w:left="283" w:hanging="170"/>
            </w:pPr>
            <w:r>
              <w:t xml:space="preserve">subsequent </w:t>
            </w:r>
            <w:r w:rsidR="005671E7">
              <w:t>conservative treatment</w:t>
            </w:r>
            <w:r>
              <w:t xml:space="preserve"> interventions to treat index lesion e.g. corticosteroid injections</w:t>
            </w:r>
          </w:p>
          <w:p w14:paraId="5F3796D5" w14:textId="77777777" w:rsidR="00060467" w:rsidRDefault="007046DE" w:rsidP="00060467">
            <w:pPr>
              <w:pStyle w:val="TableText0"/>
              <w:numPr>
                <w:ilvl w:val="0"/>
                <w:numId w:val="22"/>
              </w:numPr>
              <w:ind w:left="283" w:hanging="170"/>
            </w:pPr>
            <w:r w:rsidRPr="008F67F2">
              <w:t>subsequent surgery</w:t>
            </w:r>
            <w:r>
              <w:t xml:space="preserve"> to treat index lesion</w:t>
            </w:r>
            <w:r w:rsidRPr="008F67F2">
              <w:t xml:space="preserve"> </w:t>
            </w:r>
            <w:r>
              <w:t>(</w:t>
            </w:r>
            <w:r w:rsidRPr="008F67F2">
              <w:t>other than joint replacement</w:t>
            </w:r>
            <w:r>
              <w:t>)</w:t>
            </w:r>
          </w:p>
          <w:p w14:paraId="145BFB74" w14:textId="77777777" w:rsidR="00576595" w:rsidRDefault="007046DE" w:rsidP="007C74BE">
            <w:pPr>
              <w:pStyle w:val="TableText0"/>
              <w:numPr>
                <w:ilvl w:val="0"/>
                <w:numId w:val="22"/>
              </w:numPr>
              <w:ind w:left="283" w:hanging="170"/>
            </w:pPr>
            <w:r>
              <w:t xml:space="preserve">rates of progression to </w:t>
            </w:r>
            <w:r w:rsidRPr="00D30162">
              <w:t xml:space="preserve">joint replacement </w:t>
            </w:r>
            <w:r w:rsidRPr="008F67F2">
              <w:t>(i.e. total or partial knee arthroplasty)</w:t>
            </w:r>
          </w:p>
          <w:p w14:paraId="29ED0B81" w14:textId="0269BC00" w:rsidR="00D31254" w:rsidRPr="008F67F2" w:rsidRDefault="007046DE" w:rsidP="00714369">
            <w:pPr>
              <w:pStyle w:val="TableText0"/>
              <w:spacing w:before="120"/>
            </w:pPr>
            <w:r>
              <w:t>Compound treatment failure outcomes using any of the above</w:t>
            </w:r>
          </w:p>
        </w:tc>
      </w:tr>
      <w:tr w:rsidR="00FD7D5C" w14:paraId="117D3753" w14:textId="77777777" w:rsidTr="00466B4E">
        <w:tc>
          <w:tcPr>
            <w:tcW w:w="1555" w:type="dxa"/>
          </w:tcPr>
          <w:p w14:paraId="68466127" w14:textId="73389761" w:rsidR="008F67F2" w:rsidRPr="008F67F2" w:rsidRDefault="007046DE" w:rsidP="008F67F2">
            <w:pPr>
              <w:pStyle w:val="TableText0"/>
            </w:pPr>
            <w:r>
              <w:t>Healthcare resources</w:t>
            </w:r>
          </w:p>
        </w:tc>
        <w:tc>
          <w:tcPr>
            <w:tcW w:w="8016" w:type="dxa"/>
          </w:tcPr>
          <w:p w14:paraId="4A0CCA90" w14:textId="059FA9A2" w:rsidR="004308E7" w:rsidRDefault="007046DE" w:rsidP="008C4CF4">
            <w:pPr>
              <w:pStyle w:val="TableText0"/>
            </w:pPr>
            <w:r>
              <w:t xml:space="preserve">Cost </w:t>
            </w:r>
            <w:r w:rsidR="00D033D1">
              <w:t>of ACI and associated materials (i.e. collagen matrix scaffold and fibrin glue).</w:t>
            </w:r>
          </w:p>
          <w:p w14:paraId="5BD83BDB" w14:textId="02D63C71" w:rsidR="008F67F2" w:rsidRPr="008F67F2" w:rsidRDefault="007046DE" w:rsidP="004308E7">
            <w:pPr>
              <w:pStyle w:val="TableText0"/>
            </w:pPr>
            <w:r>
              <w:t xml:space="preserve">Cost </w:t>
            </w:r>
            <w:r w:rsidR="004308E7">
              <w:t>of procedure (i.e. proposed service fee; anaesthetist services; theatre/admission costs, including consumables)</w:t>
            </w:r>
          </w:p>
        </w:tc>
      </w:tr>
    </w:tbl>
    <w:p w14:paraId="56C7F86D" w14:textId="681DF4FA" w:rsidR="003438EF" w:rsidRDefault="007046DE" w:rsidP="00E052A2">
      <w:pPr>
        <w:pStyle w:val="Tablenotes"/>
        <w:spacing w:after="240"/>
      </w:pPr>
      <w:r>
        <w:t xml:space="preserve">EQ-5D </w:t>
      </w:r>
      <w:r w:rsidR="004520F8">
        <w:t>=</w:t>
      </w:r>
      <w:r>
        <w:t xml:space="preserve"> </w:t>
      </w:r>
      <w:r w:rsidRPr="006B54DC">
        <w:t>EuroQuol Group 5-Dimension Self Report Questionnaire</w:t>
      </w:r>
      <w:r>
        <w:t>; ICRS</w:t>
      </w:r>
      <w:r w:rsidR="004520F8">
        <w:t xml:space="preserve"> =</w:t>
      </w:r>
      <w:r>
        <w:t xml:space="preserve"> </w:t>
      </w:r>
      <w:r w:rsidRPr="008D3473">
        <w:t>International Cartilage Repair Society</w:t>
      </w:r>
      <w:r>
        <w:t>; OAT</w:t>
      </w:r>
      <w:r w:rsidR="00C760F1">
        <w:t xml:space="preserve"> =</w:t>
      </w:r>
      <w:r>
        <w:t xml:space="preserve"> osteochondral autologous transplantation; SF-36</w:t>
      </w:r>
      <w:r w:rsidR="00C760F1">
        <w:t xml:space="preserve"> =</w:t>
      </w:r>
      <w:r>
        <w:t xml:space="preserve"> </w:t>
      </w:r>
      <w:r w:rsidRPr="00292074">
        <w:t>Short Form-36</w:t>
      </w:r>
      <w:r>
        <w:t>; VAS</w:t>
      </w:r>
      <w:r w:rsidR="007C075A">
        <w:t xml:space="preserve"> =</w:t>
      </w:r>
      <w:r>
        <w:t xml:space="preserve"> visual analog scale.</w:t>
      </w:r>
    </w:p>
    <w:p w14:paraId="17002C39" w14:textId="4B9CEAFA" w:rsidR="00655BCA" w:rsidRPr="00E052A2" w:rsidRDefault="007046DE" w:rsidP="00655BCA">
      <w:pPr>
        <w:rPr>
          <w:i/>
          <w:iCs/>
        </w:rPr>
      </w:pPr>
      <w:r w:rsidRPr="00E052A2">
        <w:rPr>
          <w:i/>
          <w:iCs/>
        </w:rPr>
        <w:t xml:space="preserve">PASC noted that there appear to be many types of potential adverse events associated with the intervention. PASC queried whether a particular demographic, such as older patients, </w:t>
      </w:r>
      <w:r w:rsidR="00030B3C">
        <w:rPr>
          <w:i/>
          <w:iCs/>
        </w:rPr>
        <w:t>were</w:t>
      </w:r>
      <w:r w:rsidR="00030B3C" w:rsidRPr="00E052A2">
        <w:rPr>
          <w:i/>
          <w:iCs/>
        </w:rPr>
        <w:t xml:space="preserve"> </w:t>
      </w:r>
      <w:r w:rsidRPr="00E052A2">
        <w:rPr>
          <w:i/>
          <w:iCs/>
        </w:rPr>
        <w:t xml:space="preserve">more likely to experience adverse events, noting that consultation feedback suggested greater effectiveness in younger patients with shorter duration of symptoms. The applicant’s clinical expert advised that graft failure is the main adverse event, which is more likely in older patients, but that patient-related factors such as obesity and instability of the knee joint may </w:t>
      </w:r>
      <w:r w:rsidR="008B419C">
        <w:rPr>
          <w:i/>
          <w:iCs/>
        </w:rPr>
        <w:t xml:space="preserve">also </w:t>
      </w:r>
      <w:r w:rsidRPr="00E052A2">
        <w:rPr>
          <w:i/>
          <w:iCs/>
        </w:rPr>
        <w:t>increase the risk of adverse events.</w:t>
      </w:r>
    </w:p>
    <w:p w14:paraId="4E1C2FCB" w14:textId="3AAA1BA7" w:rsidR="007446AD" w:rsidRPr="00E052A2" w:rsidRDefault="007046DE" w:rsidP="00E052A2">
      <w:pPr>
        <w:rPr>
          <w:i/>
          <w:iCs/>
        </w:rPr>
      </w:pPr>
      <w:r w:rsidRPr="00E052A2">
        <w:rPr>
          <w:i/>
          <w:iCs/>
        </w:rPr>
        <w:t>PASC agreed with the proposed outcomes.</w:t>
      </w:r>
    </w:p>
    <w:p w14:paraId="6069F0B5" w14:textId="77777777" w:rsidR="00D73332" w:rsidRPr="00490FBB" w:rsidRDefault="007046DE" w:rsidP="00713728">
      <w:pPr>
        <w:pStyle w:val="Heading2"/>
        <w:rPr>
          <w:b/>
          <w:bCs/>
          <w:i/>
        </w:rPr>
      </w:pPr>
      <w:r w:rsidRPr="00490FBB">
        <w:t>Clinical management algorithms</w:t>
      </w:r>
    </w:p>
    <w:p w14:paraId="36A3C465" w14:textId="4BA5F880" w:rsidR="00DC775A" w:rsidRDefault="007046DE" w:rsidP="008D0B75">
      <w:r>
        <w:t>According to the applica</w:t>
      </w:r>
      <w:r w:rsidR="00D41C6F">
        <w:t>tion</w:t>
      </w:r>
      <w:r>
        <w:t xml:space="preserve">, </w:t>
      </w:r>
      <w:r w:rsidR="00EF30B9">
        <w:t>t</w:t>
      </w:r>
      <w:r w:rsidR="00EF30B9" w:rsidRPr="008D0B75">
        <w:t xml:space="preserve">he referral pathways </w:t>
      </w:r>
      <w:r w:rsidR="00EF30B9">
        <w:t xml:space="preserve">and </w:t>
      </w:r>
      <w:r>
        <w:t>c</w:t>
      </w:r>
      <w:r w:rsidRPr="008D0B75">
        <w:t xml:space="preserve">linical management of patients </w:t>
      </w:r>
      <w:r w:rsidR="0000050E">
        <w:t xml:space="preserve">is the same prior to </w:t>
      </w:r>
      <w:r w:rsidR="0045243A">
        <w:t>consideration of surg</w:t>
      </w:r>
      <w:r w:rsidR="00F370A4">
        <w:t>ery</w:t>
      </w:r>
      <w:r w:rsidR="003E2141">
        <w:t xml:space="preserve"> to repair or </w:t>
      </w:r>
      <w:r w:rsidR="00BF29C8">
        <w:t xml:space="preserve">replace focal </w:t>
      </w:r>
      <w:r w:rsidR="009A28BF">
        <w:t xml:space="preserve">cartilage </w:t>
      </w:r>
      <w:r w:rsidR="00BF29C8">
        <w:t>lesions</w:t>
      </w:r>
      <w:r w:rsidR="009A28BF">
        <w:t xml:space="preserve"> of the knee</w:t>
      </w:r>
      <w:r w:rsidR="003B5232">
        <w:t>.</w:t>
      </w:r>
      <w:r w:rsidRPr="008D0B75">
        <w:t xml:space="preserve"> </w:t>
      </w:r>
      <w:r w:rsidR="003F2006" w:rsidRPr="003F2006">
        <w:t xml:space="preserve">Cartilage defects are definitively identified </w:t>
      </w:r>
      <w:r w:rsidR="008E6090">
        <w:t>by</w:t>
      </w:r>
      <w:r w:rsidR="003F2006" w:rsidRPr="003F2006">
        <w:t xml:space="preserve"> medical imaging or arthroscopy</w:t>
      </w:r>
      <w:r w:rsidR="008E6090">
        <w:t>, which both allow for t</w:t>
      </w:r>
      <w:r w:rsidR="003F2006" w:rsidRPr="003F2006">
        <w:t>he lesion</w:t>
      </w:r>
      <w:r w:rsidR="008E6090">
        <w:t xml:space="preserve"> size and </w:t>
      </w:r>
      <w:r w:rsidR="00770BDD">
        <w:t>grade to be</w:t>
      </w:r>
      <w:r w:rsidR="003F2006" w:rsidRPr="003F2006">
        <w:t xml:space="preserve"> </w:t>
      </w:r>
      <w:r w:rsidR="00770BDD">
        <w:t>assessed</w:t>
      </w:r>
      <w:r w:rsidR="003F2006" w:rsidRPr="003F2006">
        <w:t xml:space="preserve">, </w:t>
      </w:r>
      <w:r w:rsidR="00770BDD">
        <w:t>along with</w:t>
      </w:r>
      <w:r w:rsidR="003F2006" w:rsidRPr="003F2006">
        <w:t xml:space="preserve"> the quality of the surrounding cartilag</w:t>
      </w:r>
      <w:r w:rsidR="00770BDD">
        <w:t>e</w:t>
      </w:r>
      <w:r w:rsidR="003F2006" w:rsidRPr="003F2006">
        <w:t>.</w:t>
      </w:r>
      <w:r w:rsidR="001D77F1">
        <w:t xml:space="preserve"> </w:t>
      </w:r>
      <w:r w:rsidR="00C7425D">
        <w:t>The application state</w:t>
      </w:r>
      <w:r w:rsidR="00EA44BC">
        <w:t>d</w:t>
      </w:r>
      <w:r w:rsidR="00C7425D">
        <w:t xml:space="preserve"> i</w:t>
      </w:r>
      <w:r w:rsidR="000A7045">
        <w:t>maging us</w:t>
      </w:r>
      <w:r w:rsidR="00C7425D">
        <w:t>es</w:t>
      </w:r>
      <w:r w:rsidR="007B2EAB">
        <w:t xml:space="preserve"> MBS</w:t>
      </w:r>
      <w:r w:rsidR="000A7045">
        <w:t xml:space="preserve"> item </w:t>
      </w:r>
      <w:r w:rsidR="00323E52">
        <w:rPr>
          <w:rFonts w:asciiTheme="minorHAnsi" w:hAnsiTheme="minorHAnsi" w:cstheme="minorHAnsi"/>
          <w:szCs w:val="20"/>
        </w:rPr>
        <w:t xml:space="preserve">63328 </w:t>
      </w:r>
      <w:r w:rsidR="00067E52">
        <w:rPr>
          <w:rFonts w:asciiTheme="minorHAnsi" w:hAnsiTheme="minorHAnsi" w:cstheme="minorHAnsi"/>
          <w:szCs w:val="20"/>
        </w:rPr>
        <w:t>for M</w:t>
      </w:r>
      <w:r w:rsidR="00737804" w:rsidRPr="00737804">
        <w:rPr>
          <w:rFonts w:asciiTheme="minorHAnsi" w:hAnsiTheme="minorHAnsi" w:cstheme="minorHAnsi"/>
          <w:szCs w:val="20"/>
        </w:rPr>
        <w:t>R</w:t>
      </w:r>
      <w:r w:rsidR="00067E52">
        <w:rPr>
          <w:rFonts w:asciiTheme="minorHAnsi" w:hAnsiTheme="minorHAnsi" w:cstheme="minorHAnsi"/>
          <w:szCs w:val="20"/>
        </w:rPr>
        <w:t>I (</w:t>
      </w:r>
      <w:r w:rsidR="00737804" w:rsidRPr="00737804">
        <w:rPr>
          <w:rFonts w:asciiTheme="minorHAnsi" w:hAnsiTheme="minorHAnsi" w:cstheme="minorHAnsi"/>
          <w:szCs w:val="20"/>
        </w:rPr>
        <w:t>scan of musculoskeletal system for derangement of knee or its supporting structures</w:t>
      </w:r>
      <w:r w:rsidR="00967470">
        <w:rPr>
          <w:rFonts w:asciiTheme="minorHAnsi" w:hAnsiTheme="minorHAnsi" w:cstheme="minorHAnsi"/>
          <w:szCs w:val="20"/>
        </w:rPr>
        <w:t>)</w:t>
      </w:r>
      <w:r w:rsidR="00266F2F">
        <w:rPr>
          <w:rFonts w:asciiTheme="minorHAnsi" w:hAnsiTheme="minorHAnsi" w:cstheme="minorHAnsi"/>
          <w:szCs w:val="20"/>
        </w:rPr>
        <w:t xml:space="preserve"> and arthroscopy </w:t>
      </w:r>
      <w:r w:rsidR="00C7425D">
        <w:rPr>
          <w:rFonts w:asciiTheme="minorHAnsi" w:hAnsiTheme="minorHAnsi" w:cstheme="minorHAnsi"/>
          <w:szCs w:val="20"/>
        </w:rPr>
        <w:t xml:space="preserve">uses </w:t>
      </w:r>
      <w:r w:rsidR="00067E52">
        <w:rPr>
          <w:rFonts w:asciiTheme="minorHAnsi" w:hAnsiTheme="minorHAnsi" w:cstheme="minorHAnsi"/>
          <w:szCs w:val="20"/>
        </w:rPr>
        <w:t>MBS item 49570</w:t>
      </w:r>
      <w:r w:rsidR="00F41D4A">
        <w:rPr>
          <w:rFonts w:asciiTheme="minorHAnsi" w:hAnsiTheme="minorHAnsi" w:cstheme="minorHAnsi"/>
          <w:szCs w:val="20"/>
        </w:rPr>
        <w:t xml:space="preserve"> (</w:t>
      </w:r>
      <w:r w:rsidR="00233269" w:rsidRPr="00233269">
        <w:rPr>
          <w:rFonts w:asciiTheme="minorHAnsi" w:hAnsiTheme="minorHAnsi" w:cstheme="minorHAnsi"/>
          <w:szCs w:val="20"/>
        </w:rPr>
        <w:t>Diagnosis of knee, by arthroscopic means, when the pre-procedure diagnosis is undetermined, including either or both of the following (if performed):</w:t>
      </w:r>
      <w:r w:rsidR="00733A68">
        <w:rPr>
          <w:rFonts w:asciiTheme="minorHAnsi" w:hAnsiTheme="minorHAnsi" w:cstheme="minorHAnsi"/>
          <w:szCs w:val="20"/>
        </w:rPr>
        <w:t xml:space="preserve"> </w:t>
      </w:r>
      <w:r w:rsidR="00733A68" w:rsidRPr="00733A68">
        <w:rPr>
          <w:rFonts w:asciiTheme="minorHAnsi" w:hAnsiTheme="minorHAnsi" w:cstheme="minorHAnsi"/>
          <w:szCs w:val="20"/>
        </w:rPr>
        <w:t>biopsy</w:t>
      </w:r>
      <w:r w:rsidR="00590426">
        <w:rPr>
          <w:rFonts w:asciiTheme="minorHAnsi" w:hAnsiTheme="minorHAnsi" w:cstheme="minorHAnsi"/>
          <w:szCs w:val="20"/>
        </w:rPr>
        <w:t>;</w:t>
      </w:r>
      <w:r w:rsidR="00733A68" w:rsidRPr="00733A68">
        <w:rPr>
          <w:rFonts w:asciiTheme="minorHAnsi" w:hAnsiTheme="minorHAnsi" w:cstheme="minorHAnsi"/>
          <w:szCs w:val="20"/>
        </w:rPr>
        <w:t xml:space="preserve"> lavage)</w:t>
      </w:r>
      <w:r w:rsidR="00590426">
        <w:rPr>
          <w:rFonts w:asciiTheme="minorHAnsi" w:hAnsiTheme="minorHAnsi" w:cstheme="minorHAnsi"/>
          <w:szCs w:val="20"/>
        </w:rPr>
        <w:t xml:space="preserve">. </w:t>
      </w:r>
      <w:r w:rsidR="00036A9A">
        <w:rPr>
          <w:rFonts w:asciiTheme="minorHAnsi" w:hAnsiTheme="minorHAnsi" w:cstheme="minorHAnsi"/>
          <w:szCs w:val="20"/>
        </w:rPr>
        <w:t xml:space="preserve">According to the application, </w:t>
      </w:r>
      <w:r w:rsidR="00540442">
        <w:rPr>
          <w:rFonts w:asciiTheme="minorHAnsi" w:hAnsiTheme="minorHAnsi" w:cstheme="minorHAnsi"/>
          <w:szCs w:val="20"/>
        </w:rPr>
        <w:t xml:space="preserve">debridement may </w:t>
      </w:r>
      <w:r w:rsidR="00F87F74">
        <w:rPr>
          <w:rFonts w:asciiTheme="minorHAnsi" w:hAnsiTheme="minorHAnsi" w:cstheme="minorHAnsi"/>
          <w:szCs w:val="20"/>
        </w:rPr>
        <w:t>also be performed during this initial diagnostic procedure.</w:t>
      </w:r>
    </w:p>
    <w:p w14:paraId="0589D43D" w14:textId="00408B89" w:rsidR="00147CEC" w:rsidRDefault="007046DE" w:rsidP="008D0B75">
      <w:pPr>
        <w:rPr>
          <w:rFonts w:asciiTheme="minorHAnsi" w:hAnsiTheme="minorHAnsi" w:cstheme="minorHAnsi"/>
          <w:szCs w:val="20"/>
        </w:rPr>
      </w:pPr>
      <w:r>
        <w:lastRenderedPageBreak/>
        <w:t>First-line treatment is</w:t>
      </w:r>
      <w:r w:rsidR="008D0B75" w:rsidRPr="008D0B75">
        <w:t xml:space="preserve"> conservative </w:t>
      </w:r>
      <w:r w:rsidR="00825F0D">
        <w:t>treatment</w:t>
      </w:r>
      <w:r w:rsidR="00FD0430">
        <w:t xml:space="preserve">, </w:t>
      </w:r>
      <w:r>
        <w:t xml:space="preserve">which includes </w:t>
      </w:r>
      <w:r w:rsidR="00DD6158" w:rsidRPr="00A95E91">
        <w:rPr>
          <w:rFonts w:asciiTheme="minorHAnsi" w:hAnsiTheme="minorHAnsi" w:cstheme="minorHAnsi"/>
          <w:szCs w:val="20"/>
        </w:rPr>
        <w:t>rest, non-steroidal anti-inflammatories and physiotherapy. Other non-operative therapies for more severe symptoms may include corticosteroid</w:t>
      </w:r>
      <w:r w:rsidR="0018420F">
        <w:rPr>
          <w:rFonts w:asciiTheme="minorHAnsi" w:hAnsiTheme="minorHAnsi" w:cstheme="minorHAnsi"/>
          <w:szCs w:val="20"/>
        </w:rPr>
        <w:t xml:space="preserve"> injections</w:t>
      </w:r>
      <w:r w:rsidR="00DD6158" w:rsidRPr="00A95E91">
        <w:rPr>
          <w:rFonts w:asciiTheme="minorHAnsi" w:hAnsiTheme="minorHAnsi" w:cstheme="minorHAnsi"/>
          <w:szCs w:val="20"/>
        </w:rPr>
        <w:t xml:space="preserve">, viscosupplementation (injection of </w:t>
      </w:r>
      <w:r w:rsidR="00941B98" w:rsidRPr="00941B98">
        <w:rPr>
          <w:rFonts w:asciiTheme="minorHAnsi" w:hAnsiTheme="minorHAnsi" w:cstheme="minorHAnsi"/>
          <w:szCs w:val="20"/>
        </w:rPr>
        <w:t>lubricating fluid</w:t>
      </w:r>
      <w:r w:rsidR="007675FF">
        <w:rPr>
          <w:rFonts w:asciiTheme="minorHAnsi" w:hAnsiTheme="minorHAnsi" w:cstheme="minorHAnsi"/>
          <w:szCs w:val="20"/>
        </w:rPr>
        <w:t xml:space="preserve">, typically </w:t>
      </w:r>
      <w:r w:rsidR="0056736E">
        <w:rPr>
          <w:rFonts w:asciiTheme="minorHAnsi" w:hAnsiTheme="minorHAnsi" w:cstheme="minorHAnsi"/>
          <w:szCs w:val="20"/>
        </w:rPr>
        <w:t>hyaluronic acid</w:t>
      </w:r>
      <w:r w:rsidR="007675FF">
        <w:rPr>
          <w:rFonts w:asciiTheme="minorHAnsi" w:hAnsiTheme="minorHAnsi" w:cstheme="minorHAnsi"/>
          <w:szCs w:val="20"/>
        </w:rPr>
        <w:t>,</w:t>
      </w:r>
      <w:r w:rsidR="00DD6158" w:rsidRPr="00A95E91">
        <w:rPr>
          <w:rFonts w:asciiTheme="minorHAnsi" w:hAnsiTheme="minorHAnsi" w:cstheme="minorHAnsi"/>
          <w:szCs w:val="20"/>
        </w:rPr>
        <w:t xml:space="preserve"> into the knee joint)</w:t>
      </w:r>
      <w:r w:rsidR="002E511A">
        <w:rPr>
          <w:rFonts w:asciiTheme="minorHAnsi" w:hAnsiTheme="minorHAnsi" w:cstheme="minorHAnsi"/>
          <w:szCs w:val="20"/>
        </w:rPr>
        <w:t xml:space="preserve"> </w:t>
      </w:r>
      <w:r w:rsidR="00F554E7">
        <w:rPr>
          <w:rFonts w:asciiTheme="minorHAnsi" w:hAnsiTheme="minorHAnsi" w:cstheme="minorHAnsi"/>
          <w:szCs w:val="20"/>
        </w:rPr>
        <w:t>or</w:t>
      </w:r>
      <w:r w:rsidR="00DD6158" w:rsidRPr="00A95E91">
        <w:rPr>
          <w:rFonts w:asciiTheme="minorHAnsi" w:hAnsiTheme="minorHAnsi" w:cstheme="minorHAnsi"/>
          <w:szCs w:val="20"/>
        </w:rPr>
        <w:t xml:space="preserve"> an unloading brace. The</w:t>
      </w:r>
      <w:r w:rsidR="00DD6158">
        <w:rPr>
          <w:rFonts w:asciiTheme="minorHAnsi" w:hAnsiTheme="minorHAnsi" w:cstheme="minorHAnsi"/>
          <w:szCs w:val="20"/>
        </w:rPr>
        <w:t xml:space="preserve"> application note</w:t>
      </w:r>
      <w:r w:rsidR="009A035D">
        <w:rPr>
          <w:rFonts w:asciiTheme="minorHAnsi" w:hAnsiTheme="minorHAnsi" w:cstheme="minorHAnsi"/>
          <w:szCs w:val="20"/>
        </w:rPr>
        <w:t>d</w:t>
      </w:r>
      <w:r w:rsidR="00DD6158">
        <w:rPr>
          <w:rFonts w:asciiTheme="minorHAnsi" w:hAnsiTheme="minorHAnsi" w:cstheme="minorHAnsi"/>
          <w:szCs w:val="20"/>
        </w:rPr>
        <w:t xml:space="preserve"> the</w:t>
      </w:r>
      <w:r w:rsidR="00DD6158" w:rsidRPr="00A95E91">
        <w:rPr>
          <w:rFonts w:asciiTheme="minorHAnsi" w:hAnsiTheme="minorHAnsi" w:cstheme="minorHAnsi"/>
          <w:szCs w:val="20"/>
        </w:rPr>
        <w:t>se interventions may address symptoms but will not contribute to healing the underlying defect.</w:t>
      </w:r>
      <w:r w:rsidR="007D5931">
        <w:rPr>
          <w:rFonts w:asciiTheme="minorHAnsi" w:hAnsiTheme="minorHAnsi" w:cstheme="minorHAnsi"/>
          <w:szCs w:val="20"/>
        </w:rPr>
        <w:t xml:space="preserve"> </w:t>
      </w:r>
      <w:r w:rsidR="007D5931">
        <w:t xml:space="preserve">No accepted definition of </w:t>
      </w:r>
      <w:r w:rsidR="005671E7">
        <w:t>conservative treatment</w:t>
      </w:r>
      <w:r w:rsidR="007D5931">
        <w:t xml:space="preserve"> was identified.</w:t>
      </w:r>
    </w:p>
    <w:p w14:paraId="34421708" w14:textId="7DA425AA" w:rsidR="00E448A4" w:rsidRDefault="007046DE" w:rsidP="008D0B75">
      <w:r>
        <w:t>In the absence of</w:t>
      </w:r>
      <w:r w:rsidR="00960B5C">
        <w:t xml:space="preserve"> Australian </w:t>
      </w:r>
      <w:r>
        <w:t xml:space="preserve">or other clinical </w:t>
      </w:r>
      <w:r w:rsidR="00960B5C">
        <w:t>guid</w:t>
      </w:r>
      <w:r>
        <w:t>elines</w:t>
      </w:r>
      <w:r w:rsidR="00BE270E">
        <w:t xml:space="preserve"> for the management of </w:t>
      </w:r>
      <w:r w:rsidR="00BE270E" w:rsidRPr="00BE270E">
        <w:t>symptomatic articular cartilage lesions of the knee</w:t>
      </w:r>
      <w:r>
        <w:t>,</w:t>
      </w:r>
      <w:r w:rsidR="00960B5C">
        <w:t xml:space="preserve"> </w:t>
      </w:r>
      <w:r>
        <w:t xml:space="preserve">the </w:t>
      </w:r>
      <w:r w:rsidR="003B7B45">
        <w:t>UK</w:t>
      </w:r>
      <w:r>
        <w:t xml:space="preserve"> Consensus Paper (Biant et al. 2015) was used to </w:t>
      </w:r>
      <w:r w:rsidR="00095F89">
        <w:t>inform</w:t>
      </w:r>
      <w:r>
        <w:t xml:space="preserve"> the clinical algorith</w:t>
      </w:r>
      <w:r w:rsidR="009C23BD">
        <w:t xml:space="preserve">ms in </w:t>
      </w:r>
      <w:r w:rsidR="003024B1">
        <w:fldChar w:fldCharType="begin"/>
      </w:r>
      <w:r w:rsidR="003024B1">
        <w:instrText xml:space="preserve"> REF _Ref160807369 \h </w:instrText>
      </w:r>
      <w:r w:rsidR="003024B1">
        <w:fldChar w:fldCharType="separate"/>
      </w:r>
      <w:r w:rsidR="00E602A3">
        <w:t xml:space="preserve">Figure </w:t>
      </w:r>
      <w:r w:rsidR="00E602A3">
        <w:rPr>
          <w:noProof/>
        </w:rPr>
        <w:t>1</w:t>
      </w:r>
      <w:r w:rsidR="003024B1">
        <w:fldChar w:fldCharType="end"/>
      </w:r>
      <w:r w:rsidR="003024B1">
        <w:t xml:space="preserve"> and </w:t>
      </w:r>
      <w:r w:rsidR="003024B1">
        <w:fldChar w:fldCharType="begin"/>
      </w:r>
      <w:r w:rsidR="003024B1">
        <w:instrText xml:space="preserve"> REF _Ref160807371 \h </w:instrText>
      </w:r>
      <w:r w:rsidR="003024B1">
        <w:fldChar w:fldCharType="separate"/>
      </w:r>
      <w:r w:rsidR="00E602A3">
        <w:t xml:space="preserve">Figure </w:t>
      </w:r>
      <w:r w:rsidR="00E602A3">
        <w:rPr>
          <w:noProof/>
        </w:rPr>
        <w:t>2</w:t>
      </w:r>
      <w:r w:rsidR="003024B1">
        <w:fldChar w:fldCharType="end"/>
      </w:r>
      <w:r>
        <w:t>.</w:t>
      </w:r>
      <w:r w:rsidR="00BB10E3">
        <w:t xml:space="preserve"> </w:t>
      </w:r>
    </w:p>
    <w:p w14:paraId="71ADB6BC" w14:textId="17BC475C" w:rsidR="008D0B75" w:rsidRDefault="007046DE" w:rsidP="007C238F">
      <w:r>
        <w:t xml:space="preserve">Where response to </w:t>
      </w:r>
      <w:r w:rsidR="005671E7">
        <w:t>conservative treatment</w:t>
      </w:r>
      <w:r>
        <w:t xml:space="preserve"> is poor, patients </w:t>
      </w:r>
      <w:r w:rsidR="007C238F">
        <w:t xml:space="preserve">would be considered for </w:t>
      </w:r>
      <w:r w:rsidR="00822621">
        <w:t xml:space="preserve">surgical intervention </w:t>
      </w:r>
      <w:r w:rsidR="00140A8B">
        <w:t>if the lesions are</w:t>
      </w:r>
      <w:r w:rsidR="00822621">
        <w:t xml:space="preserve"> ICRS </w:t>
      </w:r>
      <w:r w:rsidR="007339F2">
        <w:t xml:space="preserve">grade </w:t>
      </w:r>
      <w:r w:rsidR="00822621">
        <w:t>3 or 4</w:t>
      </w:r>
      <w:r w:rsidR="00665013">
        <w:t xml:space="preserve">. </w:t>
      </w:r>
      <w:r w:rsidR="00E43296">
        <w:t xml:space="preserve">For small lesions (&lt; 2 cm²), microfracture </w:t>
      </w:r>
      <w:r w:rsidR="00665013">
        <w:t>is the recommended treatment</w:t>
      </w:r>
      <w:r w:rsidR="00F00FC4">
        <w:t xml:space="preserve">; </w:t>
      </w:r>
      <w:r w:rsidR="00665013">
        <w:t xml:space="preserve">these </w:t>
      </w:r>
      <w:r w:rsidR="00E43296">
        <w:t>lesi</w:t>
      </w:r>
      <w:r w:rsidR="000E208A">
        <w:t>o</w:t>
      </w:r>
      <w:r w:rsidR="00E43296">
        <w:t xml:space="preserve">ns </w:t>
      </w:r>
      <w:r w:rsidR="00665013">
        <w:t>do not appear in the clinical algorithm shown below, which is restricted to lesion sizes of relevance to thi</w:t>
      </w:r>
      <w:r w:rsidR="007C5C1A">
        <w:t>s application</w:t>
      </w:r>
      <w:r w:rsidR="00492960">
        <w:t xml:space="preserve"> (</w:t>
      </w:r>
      <w:r w:rsidR="00155C8E">
        <w:t xml:space="preserve">i.e. </w:t>
      </w:r>
      <w:r w:rsidR="00492960">
        <w:rPr>
          <w:rFonts w:cs="Calibri"/>
        </w:rPr>
        <w:t>≥</w:t>
      </w:r>
      <w:r w:rsidR="005B1CBD">
        <w:t> </w:t>
      </w:r>
      <w:r w:rsidR="00AB5A22">
        <w:t>2</w:t>
      </w:r>
      <w:r w:rsidR="005B1CBD">
        <w:t> </w:t>
      </w:r>
      <w:r w:rsidR="005B1CBD" w:rsidRPr="005B1CBD">
        <w:t>cm²</w:t>
      </w:r>
      <w:r w:rsidR="005B1CBD">
        <w:t xml:space="preserve"> </w:t>
      </w:r>
      <w:r w:rsidR="002474E3">
        <w:t>an</w:t>
      </w:r>
      <w:r w:rsidR="00AB5A22">
        <w:t xml:space="preserve">d </w:t>
      </w:r>
      <w:r w:rsidR="002474E3">
        <w:t>&lt;</w:t>
      </w:r>
      <w:r w:rsidR="00504252">
        <w:t> </w:t>
      </w:r>
      <w:r w:rsidR="002474E3">
        <w:t>20 cm²</w:t>
      </w:r>
      <w:r w:rsidR="00492960">
        <w:t>)</w:t>
      </w:r>
      <w:r w:rsidR="0045243A">
        <w:t>.</w:t>
      </w:r>
      <w:r w:rsidR="00DD6158">
        <w:t xml:space="preserve"> </w:t>
      </w:r>
    </w:p>
    <w:p w14:paraId="0B4F9562" w14:textId="62F2811C" w:rsidR="001E4D6A" w:rsidRDefault="007046DE" w:rsidP="00137671">
      <w:r>
        <w:t xml:space="preserve">According to the PSD for </w:t>
      </w:r>
      <w:r w:rsidR="00CA272A">
        <w:t xml:space="preserve">MSAC </w:t>
      </w:r>
      <w:r w:rsidR="000C45A9">
        <w:t xml:space="preserve">application </w:t>
      </w:r>
      <w:r w:rsidR="00BF3677" w:rsidRPr="00C44AD8">
        <w:t>1140</w:t>
      </w:r>
      <w:r w:rsidR="00EF30F1">
        <w:t xml:space="preserve"> for ACI/</w:t>
      </w:r>
      <w:r w:rsidR="002D4C25">
        <w:t xml:space="preserve">matrix-assisted </w:t>
      </w:r>
      <w:r w:rsidR="00EF30F1">
        <w:t>ACI</w:t>
      </w:r>
      <w:r w:rsidR="00903286">
        <w:t>,</w:t>
      </w:r>
      <w:r w:rsidR="00021DF0">
        <w:t xml:space="preserve"> </w:t>
      </w:r>
      <w:r w:rsidR="00C46CF8">
        <w:t>ACI</w:t>
      </w:r>
      <w:r w:rsidR="009030C7" w:rsidRPr="009030C7">
        <w:t xml:space="preserve"> is used in the Australian setting as a first-line surgical treatment following failure of conservative therapy to improve the condition</w:t>
      </w:r>
      <w:r w:rsidR="009030C7">
        <w:t>.</w:t>
      </w:r>
      <w:r w:rsidR="006774D7">
        <w:t xml:space="preserve"> </w:t>
      </w:r>
      <w:r w:rsidR="00855EB8">
        <w:t xml:space="preserve">MSAC noted expert opinion that </w:t>
      </w:r>
      <w:r w:rsidR="002D4C25">
        <w:t xml:space="preserve">matrix-assisted </w:t>
      </w:r>
      <w:r w:rsidR="00855EB8">
        <w:t>ACI implants are performed overseas as a second-line surgical procedure after failed microfracture.</w:t>
      </w:r>
      <w:r w:rsidR="00BF3677">
        <w:t xml:space="preserve"> </w:t>
      </w:r>
      <w:r w:rsidR="00347DC4">
        <w:t xml:space="preserve">The </w:t>
      </w:r>
      <w:r w:rsidR="00933A38">
        <w:t xml:space="preserve">current </w:t>
      </w:r>
      <w:r w:rsidR="00D501FF">
        <w:t>application</w:t>
      </w:r>
      <w:r w:rsidR="00933A38">
        <w:t xml:space="preserve"> (1773)</w:t>
      </w:r>
      <w:r w:rsidR="00347DC4">
        <w:t xml:space="preserve"> </w:t>
      </w:r>
      <w:r w:rsidR="007E6D89">
        <w:t xml:space="preserve">indicated </w:t>
      </w:r>
      <w:r w:rsidR="00347DC4">
        <w:t>that</w:t>
      </w:r>
      <w:r w:rsidR="00813901">
        <w:t xml:space="preserve"> while</w:t>
      </w:r>
      <w:r w:rsidR="00347DC4">
        <w:t xml:space="preserve"> </w:t>
      </w:r>
      <w:r w:rsidR="00813901">
        <w:t xml:space="preserve">ACI can be performed after microfracture, </w:t>
      </w:r>
      <w:r w:rsidR="004E52B6">
        <w:t xml:space="preserve">it was suggested that </w:t>
      </w:r>
      <w:r w:rsidR="00E456A0">
        <w:t>outcomes are better if ACI is used prior to the damage caused by marrow</w:t>
      </w:r>
      <w:r w:rsidR="00F63BF3">
        <w:t>-</w:t>
      </w:r>
      <w:r w:rsidR="00E456A0">
        <w:t>stimulating techni</w:t>
      </w:r>
      <w:r w:rsidR="00342FC8">
        <w:t>ques.</w:t>
      </w:r>
      <w:r w:rsidR="006F264F">
        <w:t xml:space="preserve"> The study publications for the SUMMIT RCT do not state whether </w:t>
      </w:r>
      <w:r w:rsidR="007A6E6E">
        <w:t>any subjects had received microfracture prior to study enrolment.</w:t>
      </w:r>
    </w:p>
    <w:p w14:paraId="11B2A7CE" w14:textId="12DF688C" w:rsidR="0061770F" w:rsidRDefault="007046DE" w:rsidP="007A6E6E">
      <w:r>
        <w:t xml:space="preserve">The selection of microfracture for lesion </w:t>
      </w:r>
      <w:r w:rsidR="00061A6A">
        <w:rPr>
          <w:rFonts w:cs="Calibri"/>
        </w:rPr>
        <w:t>≥</w:t>
      </w:r>
      <w:r w:rsidR="00061A6A">
        <w:t xml:space="preserve"> 4 cm² is </w:t>
      </w:r>
      <w:r w:rsidR="005A6A55">
        <w:t xml:space="preserve">shown as a dotted line in the clinical algorithms, </w:t>
      </w:r>
      <w:r w:rsidR="000E5408">
        <w:t xml:space="preserve">in light of the general consensus that this surgical approach has poorer outcomes </w:t>
      </w:r>
      <w:r w:rsidR="00965D23">
        <w:t xml:space="preserve">in these </w:t>
      </w:r>
      <w:r w:rsidR="006E4B6C">
        <w:t>sized</w:t>
      </w:r>
      <w:r w:rsidR="00965D23">
        <w:t xml:space="preserve"> lesions (</w:t>
      </w:r>
      <w:r w:rsidR="00E262EC">
        <w:t>UK Consensus Paper</w:t>
      </w:r>
      <w:r w:rsidR="000347E8">
        <w:t xml:space="preserve">; </w:t>
      </w:r>
      <w:r w:rsidR="00E262EC">
        <w:t>Biant et al. 2015)</w:t>
      </w:r>
      <w:r w:rsidR="00A9453E">
        <w:t xml:space="preserve">, </w:t>
      </w:r>
      <w:r w:rsidR="00CE2367">
        <w:t xml:space="preserve">and </w:t>
      </w:r>
      <w:r w:rsidR="00CB71B6">
        <w:t>advice from the applicant that</w:t>
      </w:r>
      <w:r w:rsidR="00EA7405">
        <w:t xml:space="preserve"> </w:t>
      </w:r>
      <w:r w:rsidR="00EA7405" w:rsidRPr="005F074A">
        <w:t>microfracture is very reluctantly used in large lesions</w:t>
      </w:r>
      <w:r w:rsidR="00EA7405">
        <w:t>.</w:t>
      </w:r>
      <w:r>
        <w:rPr>
          <w:rStyle w:val="FootnoteReference"/>
        </w:rPr>
        <w:footnoteReference w:id="13"/>
      </w:r>
    </w:p>
    <w:p w14:paraId="6E11E577" w14:textId="512A3A5C" w:rsidR="00EA7405" w:rsidRPr="007654EE" w:rsidRDefault="007046DE" w:rsidP="007A6E6E">
      <w:r>
        <w:t>As surgical approaches are not always durable, patients may progress to treatment failure after</w:t>
      </w:r>
      <w:r w:rsidR="00732BB4">
        <w:t xml:space="preserve"> an</w:t>
      </w:r>
      <w:r w:rsidR="008751D7">
        <w:t xml:space="preserve"> initially</w:t>
      </w:r>
      <w:r w:rsidR="00581823">
        <w:t xml:space="preserve"> successful </w:t>
      </w:r>
      <w:r w:rsidR="00732BB4">
        <w:t xml:space="preserve">surgery. These patients may go on to receive primary </w:t>
      </w:r>
      <w:r w:rsidR="00E07BEF">
        <w:t xml:space="preserve">knee </w:t>
      </w:r>
      <w:r w:rsidR="008C7712">
        <w:t>arthroplasty or</w:t>
      </w:r>
      <w:r w:rsidR="00E07BEF">
        <w:t xml:space="preserve"> return to further conservative treatments to manage symptoms.</w:t>
      </w:r>
    </w:p>
    <w:p w14:paraId="21593F80" w14:textId="456D9A8D" w:rsidR="4074458F" w:rsidRPr="00885F5E" w:rsidRDefault="007046DE">
      <w:r w:rsidRPr="00885F5E">
        <w:rPr>
          <w:rFonts w:asciiTheme="minorHAnsi" w:eastAsiaTheme="minorEastAsia" w:hAnsiTheme="minorHAnsi" w:cstheme="minorBidi"/>
          <w:color w:val="000000" w:themeColor="text1"/>
        </w:rPr>
        <w:t>In the clinical algorithms shown below, primary arthroplasty may also occur without chondral repair or replacement surgery (i.e. via ongoing conservative management). The application suggested that joint replacement may be required when patients reach the age of 55 years or older. However, it should be noted that some patients within the proposed population may progress to primary knee arthroplasty sooner, for example older patients (within the proposed population) with larger lesion(s) causing significant pain and loss of function.</w:t>
      </w:r>
    </w:p>
    <w:p w14:paraId="66C21964" w14:textId="3CF46C91" w:rsidR="2882C37D" w:rsidRDefault="2882C37D" w:rsidP="2882C37D"/>
    <w:p w14:paraId="5E2E7A63" w14:textId="1F8721FD" w:rsidR="00F47C50" w:rsidRDefault="007046DE" w:rsidP="003024B1">
      <w:pPr>
        <w:pStyle w:val="Caption"/>
      </w:pPr>
      <w:bookmarkStart w:id="10" w:name="_Ref160807369"/>
      <w:r>
        <w:lastRenderedPageBreak/>
        <w:t xml:space="preserve">Figure </w:t>
      </w:r>
      <w:r>
        <w:fldChar w:fldCharType="begin"/>
      </w:r>
      <w:r>
        <w:instrText xml:space="preserve"> SEQ Figure \* ARABIC </w:instrText>
      </w:r>
      <w:r>
        <w:fldChar w:fldCharType="separate"/>
      </w:r>
      <w:r w:rsidR="00E602A3">
        <w:rPr>
          <w:noProof/>
        </w:rPr>
        <w:t>1</w:t>
      </w:r>
      <w:r>
        <w:fldChar w:fldCharType="end"/>
      </w:r>
      <w:bookmarkEnd w:id="10"/>
      <w:r>
        <w:tab/>
      </w:r>
      <w:r w:rsidR="00005721">
        <w:t xml:space="preserve">Clinical management </w:t>
      </w:r>
      <w:r w:rsidR="003839A5">
        <w:t>algorithm</w:t>
      </w:r>
      <w:r w:rsidR="00005721">
        <w:t xml:space="preserve"> w</w:t>
      </w:r>
      <w:r w:rsidR="00EB0C87">
        <w:t>ithout proposed service</w:t>
      </w:r>
    </w:p>
    <w:p w14:paraId="5341A5E0" w14:textId="1331AFD5" w:rsidR="00EB0C87" w:rsidRDefault="007046DE" w:rsidP="00154A13">
      <w:pPr>
        <w:jc w:val="center"/>
      </w:pPr>
      <w:r>
        <w:rPr>
          <w:noProof/>
        </w:rPr>
        <w:drawing>
          <wp:inline distT="0" distB="0" distL="0" distR="0" wp14:anchorId="79D75409" wp14:editId="54BFC618">
            <wp:extent cx="5866765" cy="6879917"/>
            <wp:effectExtent l="0" t="0" r="635" b="0"/>
            <wp:docPr id="1248110229" name="Picture 1248110229" descr="Clinical management algorithm without proposed service of matrix-assisted 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93825" name="Picture 1248110229" descr="Clinical management algorithm without proposed service of matrix-assisted ACI."/>
                    <pic:cNvPicPr/>
                  </pic:nvPicPr>
                  <pic:blipFill>
                    <a:blip r:embed="rId19" cstate="print">
                      <a:extLst>
                        <a:ext uri="{28A0092B-C50C-407E-A947-70E740481C1C}">
                          <a14:useLocalDpi xmlns:a14="http://schemas.microsoft.com/office/drawing/2010/main" val="0"/>
                        </a:ext>
                      </a:extLst>
                    </a:blip>
                    <a:srcRect t="4339"/>
                    <a:stretch>
                      <a:fillRect/>
                    </a:stretch>
                  </pic:blipFill>
                  <pic:spPr bwMode="auto">
                    <a:xfrm>
                      <a:off x="0" y="0"/>
                      <a:ext cx="5867213" cy="6880442"/>
                    </a:xfrm>
                    <a:prstGeom prst="rect">
                      <a:avLst/>
                    </a:prstGeom>
                    <a:ln>
                      <a:noFill/>
                    </a:ln>
                    <a:extLst>
                      <a:ext uri="{53640926-AAD7-44D8-BBD7-CCE9431645EC}">
                        <a14:shadowObscured xmlns:a14="http://schemas.microsoft.com/office/drawing/2010/main"/>
                      </a:ext>
                    </a:extLst>
                  </pic:spPr>
                </pic:pic>
              </a:graphicData>
            </a:graphic>
          </wp:inline>
        </w:drawing>
      </w:r>
    </w:p>
    <w:p w14:paraId="45A205EC" w14:textId="33720A16" w:rsidR="00E01C95" w:rsidRPr="008A5E08" w:rsidRDefault="007046DE" w:rsidP="004F3D88">
      <w:pPr>
        <w:pStyle w:val="Tablenotes"/>
        <w:spacing w:after="0"/>
        <w:rPr>
          <w:i/>
          <w:iCs/>
        </w:rPr>
      </w:pPr>
      <w:r>
        <w:t xml:space="preserve">ACI = autologous chondrocyte implantation; ICRS = </w:t>
      </w:r>
      <w:r w:rsidRPr="008D3473">
        <w:t>International Cartilage Repair Society</w:t>
      </w:r>
      <w:r>
        <w:t xml:space="preserve">; </w:t>
      </w:r>
      <w:r w:rsidR="004B259A">
        <w:t xml:space="preserve">MRI = magnetic resonance imaging; </w:t>
      </w:r>
      <w:r>
        <w:t>OAT = osteochondral autograft transplantation.</w:t>
      </w:r>
    </w:p>
    <w:p w14:paraId="5F5E1A77" w14:textId="2E660DAC" w:rsidR="00E01C95" w:rsidRDefault="007046DE" w:rsidP="001E4347">
      <w:pPr>
        <w:pStyle w:val="Tablenotes"/>
        <w:spacing w:after="240"/>
      </w:pPr>
      <w:r>
        <w:t>Note: Dotted line indicates intervention may not be appropriate for this population.</w:t>
      </w:r>
    </w:p>
    <w:p w14:paraId="50C7A94A" w14:textId="70A512BA" w:rsidR="00EB0C87" w:rsidRDefault="007046DE" w:rsidP="003024B1">
      <w:pPr>
        <w:pStyle w:val="Caption"/>
      </w:pPr>
      <w:bookmarkStart w:id="11" w:name="_Ref160807371"/>
      <w:r>
        <w:lastRenderedPageBreak/>
        <w:t xml:space="preserve">Figure </w:t>
      </w:r>
      <w:r>
        <w:fldChar w:fldCharType="begin"/>
      </w:r>
      <w:r>
        <w:instrText xml:space="preserve"> SEQ Figure \* ARABIC </w:instrText>
      </w:r>
      <w:r>
        <w:fldChar w:fldCharType="separate"/>
      </w:r>
      <w:r w:rsidR="00E602A3">
        <w:rPr>
          <w:noProof/>
        </w:rPr>
        <w:t>2</w:t>
      </w:r>
      <w:r>
        <w:fldChar w:fldCharType="end"/>
      </w:r>
      <w:bookmarkEnd w:id="11"/>
      <w:r>
        <w:tab/>
      </w:r>
      <w:r w:rsidR="0063086A">
        <w:t>Clinical management algorithm w</w:t>
      </w:r>
      <w:r>
        <w:t xml:space="preserve">ith </w:t>
      </w:r>
      <w:r w:rsidR="0063086A">
        <w:t xml:space="preserve">the </w:t>
      </w:r>
      <w:r>
        <w:t>proposed service</w:t>
      </w:r>
    </w:p>
    <w:p w14:paraId="41BD2FC9" w14:textId="1AE5DC4B" w:rsidR="00FE11CC" w:rsidRDefault="007046DE" w:rsidP="00154A13">
      <w:pPr>
        <w:jc w:val="center"/>
      </w:pPr>
      <w:r>
        <w:rPr>
          <w:noProof/>
        </w:rPr>
        <w:drawing>
          <wp:inline distT="0" distB="0" distL="0" distR="0" wp14:anchorId="5C1F650D" wp14:editId="3B7497DD">
            <wp:extent cx="4741481" cy="5635172"/>
            <wp:effectExtent l="0" t="0" r="2540" b="3810"/>
            <wp:docPr id="731887887" name="Picture 731887887" descr="Clinical management algorithm with proposed service of matrix-assisted 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1242" name="Picture 731887887" descr="Clinical management algorithm with proposed service of matrix-assisted ACI."/>
                    <pic:cNvPicPr/>
                  </pic:nvPicPr>
                  <pic:blipFill>
                    <a:blip r:embed="rId20" cstate="print">
                      <a:extLst>
                        <a:ext uri="{28A0092B-C50C-407E-A947-70E740481C1C}">
                          <a14:useLocalDpi xmlns:a14="http://schemas.microsoft.com/office/drawing/2010/main" val="0"/>
                        </a:ext>
                      </a:extLst>
                    </a:blip>
                    <a:srcRect t="4782"/>
                    <a:stretch>
                      <a:fillRect/>
                    </a:stretch>
                  </pic:blipFill>
                  <pic:spPr bwMode="auto">
                    <a:xfrm>
                      <a:off x="0" y="0"/>
                      <a:ext cx="4741989" cy="5635776"/>
                    </a:xfrm>
                    <a:prstGeom prst="rect">
                      <a:avLst/>
                    </a:prstGeom>
                    <a:ln>
                      <a:noFill/>
                    </a:ln>
                    <a:extLst>
                      <a:ext uri="{53640926-AAD7-44D8-BBD7-CCE9431645EC}">
                        <a14:shadowObscured xmlns:a14="http://schemas.microsoft.com/office/drawing/2010/main"/>
                      </a:ext>
                    </a:extLst>
                  </pic:spPr>
                </pic:pic>
              </a:graphicData>
            </a:graphic>
          </wp:inline>
        </w:drawing>
      </w:r>
    </w:p>
    <w:p w14:paraId="70938D33" w14:textId="4F034C1D" w:rsidR="00AC2F62" w:rsidRPr="008A5E08" w:rsidRDefault="007046DE" w:rsidP="004F3D88">
      <w:pPr>
        <w:pStyle w:val="Tablenotes"/>
        <w:spacing w:after="0"/>
        <w:rPr>
          <w:i/>
          <w:iCs/>
        </w:rPr>
      </w:pPr>
      <w:r>
        <w:t xml:space="preserve">ACI = autologous chondrocyte implantation; </w:t>
      </w:r>
      <w:r w:rsidR="00E00EF1">
        <w:t xml:space="preserve">ICRS = </w:t>
      </w:r>
      <w:r w:rsidR="00E00EF1" w:rsidRPr="008D3473">
        <w:t>International Cartilage Repair Society</w:t>
      </w:r>
      <w:r w:rsidR="00E00EF1">
        <w:t>;</w:t>
      </w:r>
      <w:r w:rsidR="0054632B">
        <w:t xml:space="preserve"> </w:t>
      </w:r>
      <w:r w:rsidR="00044571">
        <w:t xml:space="preserve">MRI = magnetic resonance imaging; </w:t>
      </w:r>
      <w:r w:rsidR="0054632B">
        <w:t>OAT = osteochondral autograft transplantation.</w:t>
      </w:r>
    </w:p>
    <w:p w14:paraId="2647C41B" w14:textId="00D0F8E2" w:rsidR="0099696E" w:rsidRDefault="007046DE" w:rsidP="00E052A2">
      <w:pPr>
        <w:pStyle w:val="Tablenotes"/>
        <w:spacing w:after="240"/>
      </w:pPr>
      <w:r>
        <w:t xml:space="preserve">Note: Dotted line indicates </w:t>
      </w:r>
      <w:r w:rsidR="002A1B0F">
        <w:t>intervention may not be appropriate for this population.</w:t>
      </w:r>
    </w:p>
    <w:p w14:paraId="584B800B" w14:textId="4222C28A" w:rsidR="000A2A7C" w:rsidRPr="00E052A2" w:rsidRDefault="007046DE" w:rsidP="00E052A2">
      <w:pPr>
        <w:rPr>
          <w:i/>
          <w:iCs/>
        </w:rPr>
      </w:pPr>
      <w:r w:rsidRPr="00E052A2">
        <w:rPr>
          <w:i/>
          <w:iCs/>
        </w:rPr>
        <w:t>PASC reviewed the clinical algorithms and noted that while ongoing conservative management was placed at the bottom, it is depicted as a comparator to chondral repair/replacement surgery. PASC did not request any changes.</w:t>
      </w:r>
    </w:p>
    <w:p w14:paraId="2BDE22B9" w14:textId="77777777" w:rsidR="00D73332" w:rsidRDefault="007046DE" w:rsidP="00713728">
      <w:pPr>
        <w:pStyle w:val="Heading2"/>
        <w:rPr>
          <w:b/>
          <w:bCs/>
          <w:i/>
        </w:rPr>
      </w:pPr>
      <w:r w:rsidRPr="00490FBB">
        <w:t>Proposed economic evaluation</w:t>
      </w:r>
    </w:p>
    <w:p w14:paraId="3A43C400" w14:textId="44944BBE" w:rsidR="000E0822" w:rsidRPr="004A219C" w:rsidRDefault="007046DE" w:rsidP="00E052A2">
      <w:pPr>
        <w:spacing w:after="120"/>
        <w:rPr>
          <w:iCs/>
        </w:rPr>
      </w:pPr>
      <w:r>
        <w:rPr>
          <w:iCs/>
        </w:rPr>
        <w:t xml:space="preserve">In light of </w:t>
      </w:r>
      <w:r w:rsidR="001147F5">
        <w:rPr>
          <w:iCs/>
        </w:rPr>
        <w:t xml:space="preserve">advice from </w:t>
      </w:r>
      <w:r>
        <w:rPr>
          <w:iCs/>
        </w:rPr>
        <w:t xml:space="preserve">PASC </w:t>
      </w:r>
      <w:r w:rsidR="001147F5">
        <w:rPr>
          <w:iCs/>
        </w:rPr>
        <w:t>and the applicant, t</w:t>
      </w:r>
      <w:r w:rsidRPr="004A219C">
        <w:rPr>
          <w:iCs/>
        </w:rPr>
        <w:t xml:space="preserve">he </w:t>
      </w:r>
      <w:r w:rsidR="00F86496">
        <w:rPr>
          <w:iCs/>
        </w:rPr>
        <w:t xml:space="preserve">appropriate </w:t>
      </w:r>
      <w:r w:rsidRPr="004A219C">
        <w:rPr>
          <w:iCs/>
        </w:rPr>
        <w:t>clinical claims</w:t>
      </w:r>
      <w:r>
        <w:rPr>
          <w:iCs/>
        </w:rPr>
        <w:t xml:space="preserve"> would be:</w:t>
      </w:r>
    </w:p>
    <w:p w14:paraId="54C30F1D" w14:textId="77777777" w:rsidR="000E0822" w:rsidRPr="004A219C" w:rsidRDefault="007046DE" w:rsidP="000E0822">
      <w:pPr>
        <w:pStyle w:val="ListParagraph"/>
        <w:numPr>
          <w:ilvl w:val="0"/>
          <w:numId w:val="25"/>
        </w:numPr>
        <w:spacing w:after="240"/>
        <w:rPr>
          <w:iCs/>
        </w:rPr>
      </w:pPr>
      <w:r w:rsidRPr="004A219C">
        <w:rPr>
          <w:iCs/>
        </w:rPr>
        <w:t xml:space="preserve">With regard to clinical effectiveness for the treatment of symptomatic chondral or osteochondral lesions, matrix-assisted ACI is </w:t>
      </w:r>
    </w:p>
    <w:p w14:paraId="5A27A094" w14:textId="77777777" w:rsidR="000E0822" w:rsidRPr="004A219C" w:rsidRDefault="007046DE" w:rsidP="000E0822">
      <w:pPr>
        <w:pStyle w:val="ListParagraph"/>
        <w:numPr>
          <w:ilvl w:val="1"/>
          <w:numId w:val="25"/>
        </w:numPr>
        <w:spacing w:after="240"/>
        <w:rPr>
          <w:iCs/>
        </w:rPr>
      </w:pPr>
      <w:r w:rsidRPr="004A219C">
        <w:rPr>
          <w:iCs/>
        </w:rPr>
        <w:t xml:space="preserve">superior to microfracture for lesions from 2 cm² to 4 cm² in size, and </w:t>
      </w:r>
    </w:p>
    <w:p w14:paraId="3D482DD3" w14:textId="77777777" w:rsidR="000E0822" w:rsidRPr="004A219C" w:rsidRDefault="007046DE" w:rsidP="00A43DD4">
      <w:pPr>
        <w:pStyle w:val="ListParagraph"/>
        <w:numPr>
          <w:ilvl w:val="1"/>
          <w:numId w:val="25"/>
        </w:numPr>
        <w:spacing w:after="240"/>
        <w:rPr>
          <w:iCs/>
        </w:rPr>
      </w:pPr>
      <w:r w:rsidRPr="004A219C">
        <w:rPr>
          <w:iCs/>
        </w:rPr>
        <w:lastRenderedPageBreak/>
        <w:t>superior to watchful waiting (with conservative treatment) for lesions &gt; 4 cm² to &lt; 20 cm² in size.</w:t>
      </w:r>
    </w:p>
    <w:p w14:paraId="1512CC40" w14:textId="77777777" w:rsidR="000E0822" w:rsidRPr="004A219C" w:rsidRDefault="007046DE" w:rsidP="000E0822">
      <w:pPr>
        <w:pStyle w:val="ListParagraph"/>
        <w:numPr>
          <w:ilvl w:val="0"/>
          <w:numId w:val="25"/>
        </w:numPr>
        <w:spacing w:after="240"/>
        <w:rPr>
          <w:iCs/>
        </w:rPr>
      </w:pPr>
      <w:r w:rsidRPr="004A219C">
        <w:rPr>
          <w:iCs/>
        </w:rPr>
        <w:t xml:space="preserve">With regard to safety in the treatment of symptomatic chondral or osteochondral lesions, matrix-assisted ACI is </w:t>
      </w:r>
    </w:p>
    <w:p w14:paraId="0D326980" w14:textId="77777777" w:rsidR="000E0822" w:rsidRPr="004A219C" w:rsidRDefault="007046DE" w:rsidP="000E0822">
      <w:pPr>
        <w:pStyle w:val="ListParagraph"/>
        <w:numPr>
          <w:ilvl w:val="1"/>
          <w:numId w:val="25"/>
        </w:numPr>
        <w:spacing w:after="240"/>
        <w:rPr>
          <w:iCs/>
        </w:rPr>
      </w:pPr>
      <w:r w:rsidRPr="004A219C">
        <w:rPr>
          <w:iCs/>
        </w:rPr>
        <w:t xml:space="preserve">non-inferior to microfracture for lesions from 2 cm² to 4 cm² in size, and </w:t>
      </w:r>
    </w:p>
    <w:p w14:paraId="62061A75" w14:textId="77777777" w:rsidR="000E0822" w:rsidRPr="005E1901" w:rsidRDefault="007046DE" w:rsidP="000E0822">
      <w:pPr>
        <w:pStyle w:val="ListParagraph"/>
        <w:numPr>
          <w:ilvl w:val="1"/>
          <w:numId w:val="25"/>
        </w:numPr>
        <w:spacing w:after="240"/>
        <w:rPr>
          <w:iCs/>
        </w:rPr>
      </w:pPr>
      <w:r w:rsidRPr="004A219C">
        <w:rPr>
          <w:iCs/>
        </w:rPr>
        <w:t>non-inferior to watchful waiting (with conservative treatment) for lesions &gt; 4 cm² to &lt; 20 cm² in size.</w:t>
      </w:r>
    </w:p>
    <w:p w14:paraId="25771AFC" w14:textId="01C26CAA" w:rsidR="008168AE" w:rsidRDefault="007046DE" w:rsidP="00EB5B9C">
      <w:proofErr w:type="gramStart"/>
      <w:r>
        <w:t xml:space="preserve">On </w:t>
      </w:r>
      <w:r w:rsidR="00EB5B9C">
        <w:t>the basis of</w:t>
      </w:r>
      <w:proofErr w:type="gramEnd"/>
      <w:r w:rsidR="00EB5B9C">
        <w:t xml:space="preserve"> the</w:t>
      </w:r>
      <w:r w:rsidR="000E0822">
        <w:t>se</w:t>
      </w:r>
      <w:r w:rsidR="00EB5B9C">
        <w:t xml:space="preserve"> clinical claim</w:t>
      </w:r>
      <w:r w:rsidR="000E0822">
        <w:t>s</w:t>
      </w:r>
      <w:r w:rsidR="00EB5B9C">
        <w:t xml:space="preserve">, the appropriate economic analysis would be a </w:t>
      </w:r>
      <w:r w:rsidR="00087D47">
        <w:t>cost-effectiveness analysis (</w:t>
      </w:r>
      <w:r w:rsidR="00EB5B9C">
        <w:t>C</w:t>
      </w:r>
      <w:r w:rsidR="00AE1616">
        <w:t>E</w:t>
      </w:r>
      <w:r w:rsidR="00EB5B9C">
        <w:t>A</w:t>
      </w:r>
      <w:r w:rsidR="00087D47">
        <w:t>)</w:t>
      </w:r>
      <w:r w:rsidR="007B56EE">
        <w:t xml:space="preserve"> or </w:t>
      </w:r>
      <w:r w:rsidR="00087D47">
        <w:t>cost-utility analysis (</w:t>
      </w:r>
      <w:r w:rsidR="00EB5B9C">
        <w:t>C</w:t>
      </w:r>
      <w:r w:rsidR="00AE1616">
        <w:t>U</w:t>
      </w:r>
      <w:r w:rsidR="00EB5B9C">
        <w:t>A</w:t>
      </w:r>
      <w:r w:rsidR="00087D47">
        <w:t>)</w:t>
      </w:r>
      <w:r w:rsidR="00EB5B9C">
        <w:t xml:space="preserve"> (</w:t>
      </w:r>
      <w:r w:rsidR="00EB5B9C">
        <w:fldChar w:fldCharType="begin"/>
      </w:r>
      <w:r w:rsidR="00EB5B9C">
        <w:instrText xml:space="preserve"> REF _Ref54260209 \h </w:instrText>
      </w:r>
      <w:r w:rsidR="00EB5B9C">
        <w:fldChar w:fldCharType="separate"/>
      </w:r>
      <w:r w:rsidR="00E602A3" w:rsidRPr="00490FBB">
        <w:t>Table</w:t>
      </w:r>
      <w:r w:rsidR="00E602A3">
        <w:t> </w:t>
      </w:r>
      <w:r w:rsidR="00E602A3">
        <w:rPr>
          <w:noProof/>
        </w:rPr>
        <w:t>8</w:t>
      </w:r>
      <w:r w:rsidR="00EB5B9C">
        <w:fldChar w:fldCharType="end"/>
      </w:r>
      <w:r w:rsidR="00EB5B9C">
        <w:t>).</w:t>
      </w:r>
    </w:p>
    <w:p w14:paraId="6DAB2DBD" w14:textId="79393279" w:rsidR="000939E0" w:rsidRPr="00490FBB" w:rsidRDefault="007046DE" w:rsidP="00C40CC4">
      <w:pPr>
        <w:pStyle w:val="Caption"/>
      </w:pPr>
      <w:bookmarkStart w:id="12" w:name="_Ref54260209"/>
      <w:bookmarkStart w:id="13" w:name="_Toc423450289"/>
      <w:r w:rsidRPr="00490FBB">
        <w:t>Table</w:t>
      </w:r>
      <w:r w:rsidR="00DE762F">
        <w:t> </w:t>
      </w:r>
      <w:r w:rsidRPr="00490FBB">
        <w:fldChar w:fldCharType="begin"/>
      </w:r>
      <w:r w:rsidRPr="00490FBB">
        <w:instrText xml:space="preserve"> SEQ Table \* ARABIC </w:instrText>
      </w:r>
      <w:r w:rsidRPr="00490FBB">
        <w:fldChar w:fldCharType="separate"/>
      </w:r>
      <w:r w:rsidR="00E602A3">
        <w:rPr>
          <w:noProof/>
        </w:rPr>
        <w:t>8</w:t>
      </w:r>
      <w:r w:rsidRPr="00490FBB">
        <w:fldChar w:fldCharType="end"/>
      </w:r>
      <w:bookmarkEnd w:id="12"/>
      <w:r w:rsidR="001A5D2F">
        <w:tab/>
        <w:t>Classification of</w:t>
      </w:r>
      <w:r w:rsidRPr="00490FBB">
        <w:t xml:space="preserve"> comparative effectiveness and safety of the proposed intervention</w:t>
      </w:r>
      <w:r w:rsidR="001A5D2F">
        <w:t>,</w:t>
      </w:r>
      <w:r w:rsidRPr="00490FBB">
        <w:t xml:space="preserve"> compared with its main comparator</w:t>
      </w:r>
      <w:r w:rsidR="001A5D2F">
        <w:t>,</w:t>
      </w:r>
      <w:r w:rsidRPr="00490FBB">
        <w:t xml:space="preserve"> and guide to the suitable type of economic evaluation</w:t>
      </w:r>
      <w:bookmarkEnd w:id="13"/>
    </w:p>
    <w:tbl>
      <w:tblPr>
        <w:tblW w:w="4872" w:type="pct"/>
        <w:tblInd w:w="115" w:type="dxa"/>
        <w:tblLayout w:type="fixed"/>
        <w:tblCellMar>
          <w:left w:w="115" w:type="dxa"/>
          <w:right w:w="115" w:type="dxa"/>
        </w:tblCellMar>
        <w:tblLook w:val="01E0" w:firstRow="1" w:lastRow="1" w:firstColumn="1" w:lastColumn="1" w:noHBand="0" w:noVBand="0"/>
        <w:tblCaption w:val="Table 7 Classification of the comparative effectiveness and safety of the proposed therapeutic medical service compared with its main comparator and guide to the suitable type of economic evaluation"/>
        <w:tblDescription w:val="The table presents a matrix of comparative safety (inferior, unccertain, non-inferior, superior) against comparative effectiveness (inferior, uncertain, non-inmferior, superior)."/>
      </w:tblPr>
      <w:tblGrid>
        <w:gridCol w:w="2012"/>
        <w:gridCol w:w="1905"/>
        <w:gridCol w:w="2227"/>
        <w:gridCol w:w="1748"/>
        <w:gridCol w:w="1434"/>
      </w:tblGrid>
      <w:tr w:rsidR="00FD7D5C" w14:paraId="5238F44C" w14:textId="77777777" w:rsidTr="00F964F2">
        <w:trPr>
          <w:tblHeader/>
        </w:trPr>
        <w:tc>
          <w:tcPr>
            <w:tcW w:w="2012" w:type="dxa"/>
            <w:vMerge w:val="restart"/>
            <w:tcBorders>
              <w:top w:val="single" w:sz="4" w:space="0" w:color="auto"/>
              <w:left w:val="single" w:sz="4" w:space="0" w:color="auto"/>
              <w:right w:val="single" w:sz="4" w:space="0" w:color="auto"/>
            </w:tcBorders>
          </w:tcPr>
          <w:p w14:paraId="5B06A6EA" w14:textId="57A73A94" w:rsidR="00686EED" w:rsidRPr="00490FBB" w:rsidRDefault="007046DE" w:rsidP="00C40CC4">
            <w:pPr>
              <w:pStyle w:val="TableHeading"/>
            </w:pPr>
            <w:bookmarkStart w:id="14" w:name="Title_Table2" w:colFirst="0" w:colLast="0"/>
            <w:r w:rsidRPr="00490FBB">
              <w:t>Comparative safety</w:t>
            </w:r>
          </w:p>
        </w:tc>
        <w:tc>
          <w:tcPr>
            <w:tcW w:w="1905" w:type="dxa"/>
            <w:tcBorders>
              <w:top w:val="single" w:sz="4" w:space="0" w:color="auto"/>
              <w:left w:val="single" w:sz="4" w:space="0" w:color="auto"/>
              <w:bottom w:val="single" w:sz="4" w:space="0" w:color="auto"/>
              <w:right w:val="nil"/>
            </w:tcBorders>
          </w:tcPr>
          <w:p w14:paraId="293E5792" w14:textId="77777777" w:rsidR="00686EED" w:rsidRPr="00490FBB" w:rsidRDefault="00686EED" w:rsidP="00C40CC4">
            <w:pPr>
              <w:pStyle w:val="TableHeading"/>
              <w:jc w:val="center"/>
            </w:pPr>
          </w:p>
        </w:tc>
        <w:tc>
          <w:tcPr>
            <w:tcW w:w="2227" w:type="dxa"/>
            <w:tcBorders>
              <w:top w:val="single" w:sz="4" w:space="0" w:color="auto"/>
              <w:left w:val="nil"/>
              <w:bottom w:val="single" w:sz="4" w:space="0" w:color="auto"/>
            </w:tcBorders>
          </w:tcPr>
          <w:p w14:paraId="57B2397B" w14:textId="77777777" w:rsidR="00686EED" w:rsidRPr="00490FBB" w:rsidRDefault="007046DE" w:rsidP="00C40CC4">
            <w:pPr>
              <w:pStyle w:val="TableHeading"/>
              <w:ind w:left="-75" w:right="-127"/>
              <w:jc w:val="center"/>
            </w:pPr>
            <w:r w:rsidRPr="00490FBB">
              <w:t>Comparative effectiveness</w:t>
            </w:r>
          </w:p>
        </w:tc>
        <w:tc>
          <w:tcPr>
            <w:tcW w:w="1748" w:type="dxa"/>
            <w:tcBorders>
              <w:top w:val="single" w:sz="4" w:space="0" w:color="auto"/>
              <w:left w:val="nil"/>
              <w:bottom w:val="single" w:sz="4" w:space="0" w:color="auto"/>
            </w:tcBorders>
          </w:tcPr>
          <w:p w14:paraId="6B53FB6C" w14:textId="77777777" w:rsidR="00686EED" w:rsidRPr="00490FBB" w:rsidRDefault="00686EED" w:rsidP="00C40CC4">
            <w:pPr>
              <w:pStyle w:val="TableHeading"/>
              <w:jc w:val="center"/>
            </w:pPr>
          </w:p>
        </w:tc>
        <w:tc>
          <w:tcPr>
            <w:tcW w:w="1434" w:type="dxa"/>
            <w:tcBorders>
              <w:top w:val="single" w:sz="4" w:space="0" w:color="auto"/>
              <w:left w:val="nil"/>
              <w:bottom w:val="single" w:sz="4" w:space="0" w:color="auto"/>
              <w:right w:val="single" w:sz="4" w:space="0" w:color="auto"/>
            </w:tcBorders>
          </w:tcPr>
          <w:p w14:paraId="0FE152FA" w14:textId="77777777" w:rsidR="00686EED" w:rsidRPr="00490FBB" w:rsidRDefault="00686EED" w:rsidP="00C40CC4">
            <w:pPr>
              <w:pStyle w:val="TableHeading"/>
              <w:jc w:val="center"/>
            </w:pPr>
          </w:p>
        </w:tc>
      </w:tr>
      <w:bookmarkEnd w:id="14"/>
      <w:tr w:rsidR="00FD7D5C" w14:paraId="78A8F3F1" w14:textId="77777777" w:rsidTr="00F964F2">
        <w:trPr>
          <w:tblHeader/>
        </w:trPr>
        <w:tc>
          <w:tcPr>
            <w:tcW w:w="2012" w:type="dxa"/>
            <w:vMerge/>
            <w:tcBorders>
              <w:left w:val="single" w:sz="4" w:space="0" w:color="auto"/>
              <w:bottom w:val="single" w:sz="4" w:space="0" w:color="auto"/>
              <w:right w:val="single" w:sz="4" w:space="0" w:color="auto"/>
            </w:tcBorders>
          </w:tcPr>
          <w:p w14:paraId="6E00D947" w14:textId="57BEC7DE" w:rsidR="00686EED" w:rsidRPr="00490FBB" w:rsidRDefault="00686EED" w:rsidP="00C40CC4">
            <w:pPr>
              <w:pStyle w:val="TableHeading"/>
            </w:pPr>
          </w:p>
        </w:tc>
        <w:tc>
          <w:tcPr>
            <w:tcW w:w="1905" w:type="dxa"/>
            <w:tcBorders>
              <w:left w:val="single" w:sz="4" w:space="0" w:color="auto"/>
              <w:bottom w:val="single" w:sz="4" w:space="0" w:color="auto"/>
              <w:right w:val="single" w:sz="4" w:space="0" w:color="auto"/>
            </w:tcBorders>
          </w:tcPr>
          <w:p w14:paraId="319C788C" w14:textId="77777777" w:rsidR="00686EED" w:rsidRPr="00490FBB" w:rsidRDefault="007046DE" w:rsidP="00C40CC4">
            <w:pPr>
              <w:pStyle w:val="TableHeading"/>
              <w:jc w:val="center"/>
            </w:pPr>
            <w:r w:rsidRPr="00490FBB">
              <w:t>Inferior</w:t>
            </w:r>
          </w:p>
        </w:tc>
        <w:tc>
          <w:tcPr>
            <w:tcW w:w="2227" w:type="dxa"/>
            <w:tcBorders>
              <w:top w:val="single" w:sz="4" w:space="0" w:color="auto"/>
              <w:left w:val="single" w:sz="4" w:space="0" w:color="auto"/>
              <w:bottom w:val="single" w:sz="4" w:space="0" w:color="auto"/>
              <w:right w:val="single" w:sz="4" w:space="0" w:color="auto"/>
            </w:tcBorders>
          </w:tcPr>
          <w:p w14:paraId="5AC96128" w14:textId="77777777" w:rsidR="00686EED" w:rsidRPr="00490FBB" w:rsidRDefault="007046DE" w:rsidP="00C40CC4">
            <w:pPr>
              <w:pStyle w:val="TableHeading"/>
              <w:jc w:val="center"/>
            </w:pPr>
            <w:r w:rsidRPr="00490FBB">
              <w:t>Uncertain</w:t>
            </w:r>
            <w:r w:rsidRPr="00490FBB">
              <w:rPr>
                <w:vertAlign w:val="superscript"/>
              </w:rPr>
              <w:t>a</w:t>
            </w:r>
          </w:p>
        </w:tc>
        <w:tc>
          <w:tcPr>
            <w:tcW w:w="1748" w:type="dxa"/>
            <w:tcBorders>
              <w:top w:val="single" w:sz="4" w:space="0" w:color="auto"/>
              <w:left w:val="single" w:sz="4" w:space="0" w:color="auto"/>
              <w:bottom w:val="single" w:sz="4" w:space="0" w:color="auto"/>
              <w:right w:val="single" w:sz="4" w:space="0" w:color="auto"/>
            </w:tcBorders>
          </w:tcPr>
          <w:p w14:paraId="7AA1349D" w14:textId="4BA1ADFE" w:rsidR="00686EED" w:rsidRPr="00490FBB" w:rsidRDefault="007046DE" w:rsidP="00C40CC4">
            <w:pPr>
              <w:pStyle w:val="TableHeading"/>
              <w:jc w:val="center"/>
            </w:pPr>
            <w:r w:rsidRPr="00490FBB">
              <w:t>Noninferior</w:t>
            </w:r>
            <w:r w:rsidRPr="00490FBB">
              <w:rPr>
                <w:vertAlign w:val="superscript"/>
              </w:rPr>
              <w:t>b</w:t>
            </w:r>
          </w:p>
        </w:tc>
        <w:tc>
          <w:tcPr>
            <w:tcW w:w="1434" w:type="dxa"/>
            <w:tcBorders>
              <w:top w:val="single" w:sz="4" w:space="0" w:color="auto"/>
              <w:left w:val="single" w:sz="4" w:space="0" w:color="auto"/>
              <w:bottom w:val="single" w:sz="4" w:space="0" w:color="auto"/>
              <w:right w:val="single" w:sz="4" w:space="0" w:color="auto"/>
            </w:tcBorders>
          </w:tcPr>
          <w:p w14:paraId="156C5942" w14:textId="77777777" w:rsidR="00686EED" w:rsidRPr="00490FBB" w:rsidRDefault="007046DE" w:rsidP="00C40CC4">
            <w:pPr>
              <w:pStyle w:val="TableHeading"/>
              <w:jc w:val="center"/>
            </w:pPr>
            <w:r w:rsidRPr="00490FBB">
              <w:t>Superior</w:t>
            </w:r>
          </w:p>
        </w:tc>
      </w:tr>
      <w:tr w:rsidR="00FD7D5C" w14:paraId="1E111DC3" w14:textId="77777777" w:rsidTr="00F964F2">
        <w:tc>
          <w:tcPr>
            <w:tcW w:w="2012" w:type="dxa"/>
            <w:tcBorders>
              <w:top w:val="single" w:sz="4" w:space="0" w:color="auto"/>
              <w:left w:val="single" w:sz="4" w:space="0" w:color="auto"/>
              <w:bottom w:val="single" w:sz="4" w:space="0" w:color="auto"/>
              <w:right w:val="single" w:sz="4" w:space="0" w:color="auto"/>
            </w:tcBorders>
            <w:vAlign w:val="center"/>
          </w:tcPr>
          <w:p w14:paraId="04A362E2" w14:textId="77777777" w:rsidR="000939E0" w:rsidRPr="00490FBB" w:rsidRDefault="007046DE" w:rsidP="00C40CC4">
            <w:pPr>
              <w:pStyle w:val="Tabletext"/>
              <w:keepNext/>
            </w:pPr>
            <w:r w:rsidRPr="00490FBB">
              <w:t>Inferior</w:t>
            </w:r>
          </w:p>
        </w:tc>
        <w:tc>
          <w:tcPr>
            <w:tcW w:w="1905" w:type="dxa"/>
            <w:tcBorders>
              <w:top w:val="single" w:sz="4" w:space="0" w:color="auto"/>
              <w:left w:val="single" w:sz="4" w:space="0" w:color="auto"/>
              <w:bottom w:val="single" w:sz="4" w:space="0" w:color="auto"/>
              <w:right w:val="single" w:sz="4" w:space="0" w:color="auto"/>
            </w:tcBorders>
            <w:vAlign w:val="center"/>
          </w:tcPr>
          <w:p w14:paraId="0B15352C" w14:textId="77777777" w:rsidR="000939E0" w:rsidRPr="00490FBB" w:rsidRDefault="007046DE" w:rsidP="00C40CC4">
            <w:pPr>
              <w:pStyle w:val="Tabletext"/>
              <w:keepNext/>
            </w:pPr>
            <w:r w:rsidRPr="00490FBB">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7A58DE2" w14:textId="77777777" w:rsidR="000939E0" w:rsidRPr="00490FBB" w:rsidRDefault="007046DE" w:rsidP="00C40CC4">
            <w:pPr>
              <w:pStyle w:val="Tabletext"/>
              <w:keepNext/>
            </w:pPr>
            <w:r w:rsidRPr="00490FBB">
              <w:t>Health forgone possible: need other supportive factors</w:t>
            </w:r>
          </w:p>
        </w:tc>
        <w:tc>
          <w:tcPr>
            <w:tcW w:w="1748" w:type="dxa"/>
            <w:tcBorders>
              <w:top w:val="single" w:sz="4" w:space="0" w:color="auto"/>
              <w:left w:val="single" w:sz="4" w:space="0" w:color="auto"/>
              <w:bottom w:val="single" w:sz="4" w:space="0" w:color="auto"/>
              <w:right w:val="single" w:sz="4" w:space="0" w:color="auto"/>
            </w:tcBorders>
            <w:vAlign w:val="center"/>
          </w:tcPr>
          <w:p w14:paraId="3540FA15" w14:textId="77777777" w:rsidR="000939E0" w:rsidRPr="00490FBB" w:rsidRDefault="007046DE" w:rsidP="00C40CC4">
            <w:pPr>
              <w:pStyle w:val="Tabletext"/>
              <w:keepNext/>
            </w:pPr>
            <w:r w:rsidRPr="00490FBB">
              <w:t>Health forgone: need other supportive factors</w:t>
            </w:r>
          </w:p>
        </w:tc>
        <w:tc>
          <w:tcPr>
            <w:tcW w:w="1434" w:type="dxa"/>
            <w:tcBorders>
              <w:top w:val="single" w:sz="4" w:space="0" w:color="auto"/>
              <w:left w:val="single" w:sz="4" w:space="0" w:color="auto"/>
              <w:bottom w:val="single" w:sz="4" w:space="0" w:color="auto"/>
              <w:right w:val="single" w:sz="4" w:space="0" w:color="auto"/>
            </w:tcBorders>
            <w:vAlign w:val="center"/>
          </w:tcPr>
          <w:p w14:paraId="18C6CF73" w14:textId="77777777" w:rsidR="000939E0" w:rsidRPr="00490FBB" w:rsidRDefault="007046DE" w:rsidP="00C40CC4">
            <w:pPr>
              <w:pStyle w:val="Tabletext"/>
              <w:keepNext/>
            </w:pPr>
            <w:r w:rsidRPr="00490FBB">
              <w:t>? Likely CUA</w:t>
            </w:r>
          </w:p>
        </w:tc>
      </w:tr>
      <w:tr w:rsidR="00FD7D5C" w14:paraId="463C2753" w14:textId="77777777" w:rsidTr="00F964F2">
        <w:tc>
          <w:tcPr>
            <w:tcW w:w="2012" w:type="dxa"/>
            <w:tcBorders>
              <w:top w:val="single" w:sz="4" w:space="0" w:color="auto"/>
              <w:left w:val="single" w:sz="4" w:space="0" w:color="auto"/>
              <w:bottom w:val="single" w:sz="4" w:space="0" w:color="auto"/>
              <w:right w:val="single" w:sz="4" w:space="0" w:color="auto"/>
            </w:tcBorders>
            <w:vAlign w:val="center"/>
          </w:tcPr>
          <w:p w14:paraId="11AF710C" w14:textId="77777777" w:rsidR="000939E0" w:rsidRPr="00490FBB" w:rsidRDefault="007046DE" w:rsidP="00C40CC4">
            <w:pPr>
              <w:pStyle w:val="Tabletext"/>
              <w:keepNext/>
            </w:pPr>
            <w:r w:rsidRPr="00490FBB">
              <w:t>Uncertain</w:t>
            </w:r>
            <w:r w:rsidRPr="00490FBB">
              <w:rPr>
                <w:vertAlign w:val="superscript"/>
              </w:rPr>
              <w:t>a</w:t>
            </w:r>
          </w:p>
        </w:tc>
        <w:tc>
          <w:tcPr>
            <w:tcW w:w="1905" w:type="dxa"/>
            <w:tcBorders>
              <w:top w:val="single" w:sz="4" w:space="0" w:color="auto"/>
              <w:left w:val="single" w:sz="4" w:space="0" w:color="auto"/>
              <w:bottom w:val="single" w:sz="4" w:space="0" w:color="auto"/>
              <w:right w:val="single" w:sz="4" w:space="0" w:color="auto"/>
            </w:tcBorders>
            <w:vAlign w:val="center"/>
          </w:tcPr>
          <w:p w14:paraId="12909D79" w14:textId="77777777" w:rsidR="000939E0" w:rsidRPr="00490FBB" w:rsidRDefault="007046DE" w:rsidP="00C40CC4">
            <w:pPr>
              <w:pStyle w:val="Tabletext"/>
              <w:keepNext/>
            </w:pPr>
            <w:r w:rsidRPr="00490FBB">
              <w:t>Health forgone possible: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50F5E2B4" w14:textId="77777777" w:rsidR="000939E0" w:rsidRPr="00490FBB" w:rsidRDefault="007046DE" w:rsidP="00C40CC4">
            <w:pPr>
              <w:pStyle w:val="Tabletext"/>
              <w:keepNext/>
            </w:pPr>
            <w:r w:rsidRPr="00490FBB">
              <w:t>?</w:t>
            </w:r>
          </w:p>
        </w:tc>
        <w:tc>
          <w:tcPr>
            <w:tcW w:w="1748" w:type="dxa"/>
            <w:tcBorders>
              <w:top w:val="single" w:sz="4" w:space="0" w:color="auto"/>
              <w:left w:val="single" w:sz="4" w:space="0" w:color="auto"/>
              <w:bottom w:val="single" w:sz="4" w:space="0" w:color="auto"/>
              <w:right w:val="single" w:sz="4" w:space="0" w:color="auto"/>
            </w:tcBorders>
            <w:vAlign w:val="center"/>
          </w:tcPr>
          <w:p w14:paraId="0406F2A1" w14:textId="77777777" w:rsidR="000939E0" w:rsidRPr="00490FBB" w:rsidRDefault="007046DE" w:rsidP="00C40CC4">
            <w:pPr>
              <w:pStyle w:val="Tabletext"/>
              <w:keepNext/>
            </w:pPr>
            <w:r w:rsidRPr="00490FBB">
              <w:t>?</w:t>
            </w:r>
          </w:p>
        </w:tc>
        <w:tc>
          <w:tcPr>
            <w:tcW w:w="1434" w:type="dxa"/>
            <w:tcBorders>
              <w:top w:val="single" w:sz="4" w:space="0" w:color="auto"/>
              <w:left w:val="single" w:sz="4" w:space="0" w:color="auto"/>
              <w:bottom w:val="single" w:sz="4" w:space="0" w:color="auto"/>
              <w:right w:val="single" w:sz="4" w:space="0" w:color="auto"/>
            </w:tcBorders>
            <w:vAlign w:val="center"/>
          </w:tcPr>
          <w:p w14:paraId="1996B8CC" w14:textId="77777777" w:rsidR="000939E0" w:rsidRPr="00490FBB" w:rsidRDefault="007046DE" w:rsidP="00C40CC4">
            <w:pPr>
              <w:pStyle w:val="Tabletext"/>
              <w:keepNext/>
            </w:pPr>
            <w:r w:rsidRPr="00490FBB">
              <w:t>? Likely CEA/CUA</w:t>
            </w:r>
          </w:p>
        </w:tc>
      </w:tr>
      <w:tr w:rsidR="00FD7D5C" w14:paraId="47335FF9" w14:textId="77777777" w:rsidTr="00E70CD3">
        <w:tc>
          <w:tcPr>
            <w:tcW w:w="2012" w:type="dxa"/>
            <w:tcBorders>
              <w:top w:val="single" w:sz="4" w:space="0" w:color="auto"/>
              <w:left w:val="single" w:sz="4" w:space="0" w:color="auto"/>
              <w:bottom w:val="single" w:sz="4" w:space="0" w:color="auto"/>
              <w:right w:val="single" w:sz="4" w:space="0" w:color="auto"/>
            </w:tcBorders>
            <w:vAlign w:val="center"/>
          </w:tcPr>
          <w:p w14:paraId="0CBD845B" w14:textId="149CC18B" w:rsidR="000939E0" w:rsidRPr="00490FBB" w:rsidRDefault="007046DE" w:rsidP="00C40CC4">
            <w:pPr>
              <w:pStyle w:val="Tabletext"/>
              <w:keepNext/>
            </w:pPr>
            <w:r w:rsidRPr="00490FBB">
              <w:t>Noninferior</w:t>
            </w:r>
            <w:r w:rsidRPr="00490FBB">
              <w:rPr>
                <w:vertAlign w:val="superscript"/>
              </w:rPr>
              <w:t>b</w:t>
            </w:r>
          </w:p>
        </w:tc>
        <w:tc>
          <w:tcPr>
            <w:tcW w:w="1905" w:type="dxa"/>
            <w:tcBorders>
              <w:top w:val="single" w:sz="4" w:space="0" w:color="auto"/>
              <w:left w:val="single" w:sz="4" w:space="0" w:color="auto"/>
              <w:bottom w:val="single" w:sz="4" w:space="0" w:color="auto"/>
              <w:right w:val="single" w:sz="4" w:space="0" w:color="auto"/>
            </w:tcBorders>
            <w:vAlign w:val="center"/>
          </w:tcPr>
          <w:p w14:paraId="5D8B4B6F" w14:textId="77777777" w:rsidR="000939E0" w:rsidRPr="00490FBB" w:rsidRDefault="007046DE" w:rsidP="00C40CC4">
            <w:pPr>
              <w:pStyle w:val="Tabletext"/>
              <w:keepNext/>
            </w:pPr>
            <w:r w:rsidRPr="00490FBB">
              <w:t>Health forgone: need other supportive factors</w:t>
            </w:r>
          </w:p>
        </w:tc>
        <w:tc>
          <w:tcPr>
            <w:tcW w:w="2227" w:type="dxa"/>
            <w:tcBorders>
              <w:top w:val="single" w:sz="4" w:space="0" w:color="auto"/>
              <w:left w:val="single" w:sz="4" w:space="0" w:color="auto"/>
              <w:bottom w:val="single" w:sz="4" w:space="0" w:color="auto"/>
              <w:right w:val="single" w:sz="4" w:space="0" w:color="auto"/>
            </w:tcBorders>
            <w:vAlign w:val="center"/>
          </w:tcPr>
          <w:p w14:paraId="43D9B9E4" w14:textId="77777777" w:rsidR="000939E0" w:rsidRPr="00490FBB" w:rsidRDefault="007046DE" w:rsidP="00C40CC4">
            <w:pPr>
              <w:pStyle w:val="Tabletext"/>
              <w:keepNext/>
            </w:pPr>
            <w:r w:rsidRPr="00490FBB">
              <w:t>?</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12BD2E22" w14:textId="77777777" w:rsidR="000939E0" w:rsidRPr="00490FBB" w:rsidRDefault="007046DE" w:rsidP="00C40CC4">
            <w:pPr>
              <w:pStyle w:val="Tabletext"/>
              <w:keepNext/>
            </w:pPr>
            <w:r w:rsidRPr="00490FBB">
              <w:t>CMA</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7E9F7AB5" w14:textId="77777777" w:rsidR="000939E0" w:rsidRPr="00E70CD3" w:rsidRDefault="007046DE" w:rsidP="00C40CC4">
            <w:pPr>
              <w:pStyle w:val="Tabletext"/>
              <w:keepNext/>
              <w:rPr>
                <w:b/>
                <w:bCs/>
              </w:rPr>
            </w:pPr>
            <w:r w:rsidRPr="00E70CD3">
              <w:rPr>
                <w:b/>
                <w:bCs/>
              </w:rPr>
              <w:t>CEA/CUA</w:t>
            </w:r>
          </w:p>
        </w:tc>
      </w:tr>
      <w:tr w:rsidR="00FD7D5C" w14:paraId="41AB5715" w14:textId="77777777" w:rsidTr="00885F5E">
        <w:tc>
          <w:tcPr>
            <w:tcW w:w="2012" w:type="dxa"/>
            <w:tcBorders>
              <w:top w:val="single" w:sz="4" w:space="0" w:color="auto"/>
              <w:left w:val="single" w:sz="4" w:space="0" w:color="auto"/>
              <w:bottom w:val="single" w:sz="4" w:space="0" w:color="auto"/>
              <w:right w:val="single" w:sz="4" w:space="0" w:color="auto"/>
            </w:tcBorders>
            <w:vAlign w:val="center"/>
          </w:tcPr>
          <w:p w14:paraId="18F5B4CB" w14:textId="77777777" w:rsidR="000939E0" w:rsidRPr="00490FBB" w:rsidRDefault="007046DE" w:rsidP="00C40CC4">
            <w:pPr>
              <w:pStyle w:val="Tabletext"/>
              <w:keepNext/>
            </w:pPr>
            <w:r w:rsidRPr="00490FBB">
              <w:t>Superior</w:t>
            </w:r>
          </w:p>
        </w:tc>
        <w:tc>
          <w:tcPr>
            <w:tcW w:w="1905" w:type="dxa"/>
            <w:tcBorders>
              <w:top w:val="single" w:sz="4" w:space="0" w:color="auto"/>
              <w:left w:val="single" w:sz="4" w:space="0" w:color="auto"/>
              <w:bottom w:val="single" w:sz="4" w:space="0" w:color="auto"/>
              <w:right w:val="single" w:sz="4" w:space="0" w:color="auto"/>
            </w:tcBorders>
            <w:vAlign w:val="center"/>
          </w:tcPr>
          <w:p w14:paraId="2525815A" w14:textId="77777777" w:rsidR="000939E0" w:rsidRPr="00490FBB" w:rsidRDefault="007046DE" w:rsidP="00C40CC4">
            <w:pPr>
              <w:pStyle w:val="Tabletext"/>
              <w:keepNext/>
            </w:pPr>
            <w:r w:rsidRPr="00490FBB">
              <w:t>? Likely CUA</w:t>
            </w:r>
          </w:p>
        </w:tc>
        <w:tc>
          <w:tcPr>
            <w:tcW w:w="2227" w:type="dxa"/>
            <w:tcBorders>
              <w:top w:val="single" w:sz="4" w:space="0" w:color="auto"/>
              <w:left w:val="single" w:sz="4" w:space="0" w:color="auto"/>
              <w:bottom w:val="single" w:sz="4" w:space="0" w:color="auto"/>
              <w:right w:val="single" w:sz="4" w:space="0" w:color="auto"/>
            </w:tcBorders>
            <w:vAlign w:val="center"/>
          </w:tcPr>
          <w:p w14:paraId="2AE0169D" w14:textId="77777777" w:rsidR="000939E0" w:rsidRPr="00490FBB" w:rsidRDefault="007046DE" w:rsidP="00C40CC4">
            <w:pPr>
              <w:pStyle w:val="Tabletext"/>
              <w:keepNext/>
            </w:pPr>
            <w:r w:rsidRPr="00490FBB">
              <w:t>? Likely CEA/CUA</w:t>
            </w:r>
          </w:p>
        </w:tc>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14:paraId="71D0525C" w14:textId="77777777" w:rsidR="000939E0" w:rsidRPr="00490FBB" w:rsidRDefault="007046DE" w:rsidP="00C40CC4">
            <w:pPr>
              <w:pStyle w:val="Tabletext"/>
              <w:keepNext/>
            </w:pPr>
            <w:r w:rsidRPr="00490FBB">
              <w:t>CEA/CUA</w:t>
            </w:r>
          </w:p>
        </w:tc>
        <w:tc>
          <w:tcPr>
            <w:tcW w:w="1434" w:type="dxa"/>
            <w:tcBorders>
              <w:top w:val="single" w:sz="4" w:space="0" w:color="auto"/>
              <w:left w:val="single" w:sz="4" w:space="0" w:color="auto"/>
              <w:bottom w:val="single" w:sz="4" w:space="0" w:color="auto"/>
              <w:right w:val="single" w:sz="4" w:space="0" w:color="auto"/>
            </w:tcBorders>
            <w:shd w:val="clear" w:color="auto" w:fill="auto"/>
            <w:vAlign w:val="center"/>
          </w:tcPr>
          <w:p w14:paraId="5FF47EA5" w14:textId="77777777" w:rsidR="000939E0" w:rsidRPr="007E7531" w:rsidRDefault="007046DE" w:rsidP="00C40CC4">
            <w:pPr>
              <w:pStyle w:val="Tabletext"/>
              <w:keepNext/>
            </w:pPr>
            <w:r w:rsidRPr="007E7531">
              <w:t>CEA/CUA</w:t>
            </w:r>
          </w:p>
        </w:tc>
      </w:tr>
    </w:tbl>
    <w:p w14:paraId="6538A3FB" w14:textId="6A5A81E3" w:rsidR="000939E0" w:rsidRPr="00490FBB" w:rsidRDefault="007046DE" w:rsidP="004F3D88">
      <w:pPr>
        <w:pStyle w:val="Tablenotes"/>
        <w:keepNext/>
        <w:spacing w:before="120" w:after="0"/>
        <w:rPr>
          <w:szCs w:val="18"/>
        </w:rPr>
      </w:pPr>
      <w:r w:rsidRPr="00490FBB">
        <w:rPr>
          <w:szCs w:val="18"/>
        </w:rPr>
        <w:t>CEA=cost-effectiveness analysis; CMA=cost-minimisation analysis; CUA=cost-utility analysis</w:t>
      </w:r>
      <w:r w:rsidR="00536714">
        <w:rPr>
          <w:szCs w:val="18"/>
        </w:rPr>
        <w:t>.</w:t>
      </w:r>
    </w:p>
    <w:p w14:paraId="48F7CED7" w14:textId="77777777" w:rsidR="000939E0" w:rsidRPr="00490FBB" w:rsidRDefault="007046DE" w:rsidP="004F3D88">
      <w:pPr>
        <w:pStyle w:val="Tablenotes"/>
        <w:keepNext/>
        <w:spacing w:after="0"/>
        <w:rPr>
          <w:b/>
          <w:szCs w:val="18"/>
        </w:rPr>
      </w:pPr>
      <w:r w:rsidRPr="00490FBB">
        <w:rPr>
          <w:szCs w:val="18"/>
        </w:rPr>
        <w:t xml:space="preserve">? = reflect uncertainties and any identified health trade-offs in the economic evaluation, as a minimum in a cost-consequences analysis </w:t>
      </w:r>
    </w:p>
    <w:p w14:paraId="65C6F534" w14:textId="307C7533" w:rsidR="000939E0" w:rsidRPr="00490FBB" w:rsidRDefault="007046DE" w:rsidP="004F3D88">
      <w:pPr>
        <w:pStyle w:val="Tablenotes"/>
        <w:keepNext/>
        <w:spacing w:after="0"/>
        <w:rPr>
          <w:b/>
          <w:szCs w:val="18"/>
        </w:rPr>
      </w:pPr>
      <w:r w:rsidRPr="00536714">
        <w:rPr>
          <w:szCs w:val="18"/>
        </w:rPr>
        <w:t>a</w:t>
      </w:r>
      <w:r w:rsidRPr="00490FBB">
        <w:rPr>
          <w:szCs w:val="18"/>
        </w:rPr>
        <w:t> ‘Uncertainty’ covers concepts such as inadequate minimisation of important sources of bias, lack of statistical significance in an underpowered trial, detecting clinically unimportant therapeutic differences, inconsistent results across trials, and trade-offs within the comparative effectiveness and/or the comparative safety considerations</w:t>
      </w:r>
      <w:r w:rsidR="00536714">
        <w:rPr>
          <w:szCs w:val="18"/>
        </w:rPr>
        <w:t>.</w:t>
      </w:r>
    </w:p>
    <w:p w14:paraId="1CB9C9B3" w14:textId="04425A06" w:rsidR="000939E0" w:rsidRDefault="007046DE" w:rsidP="007B4D83">
      <w:pPr>
        <w:pStyle w:val="Tablenotes"/>
        <w:spacing w:after="240"/>
        <w:rPr>
          <w:szCs w:val="18"/>
        </w:rPr>
      </w:pPr>
      <w:r w:rsidRPr="00536714">
        <w:rPr>
          <w:szCs w:val="18"/>
        </w:rPr>
        <w:t>b</w:t>
      </w:r>
      <w:r w:rsidRPr="00490FBB">
        <w:rPr>
          <w:szCs w:val="18"/>
        </w:rPr>
        <w:t> An adequate assessment of ‘noninferiority’ is the preferred basis for demonstrating equivalence</w:t>
      </w:r>
      <w:r w:rsidR="00536714">
        <w:rPr>
          <w:szCs w:val="18"/>
        </w:rPr>
        <w:t>.</w:t>
      </w:r>
    </w:p>
    <w:p w14:paraId="051781A0" w14:textId="0C500497" w:rsidR="007165FF" w:rsidRDefault="007046DE" w:rsidP="00EB1BC8">
      <w:r w:rsidRPr="004A4A17">
        <w:t xml:space="preserve">The </w:t>
      </w:r>
      <w:r w:rsidR="006F064B">
        <w:t>five</w:t>
      </w:r>
      <w:r w:rsidR="00941528">
        <w:t xml:space="preserve">-year follow up of the </w:t>
      </w:r>
      <w:r w:rsidRPr="004A4A17">
        <w:t xml:space="preserve">SUMMIT </w:t>
      </w:r>
      <w:r w:rsidR="005C652B">
        <w:t>RCT</w:t>
      </w:r>
      <w:r w:rsidR="00747804">
        <w:t xml:space="preserve"> (</w:t>
      </w:r>
      <w:r w:rsidR="00941528">
        <w:t>Brittberg</w:t>
      </w:r>
      <w:r w:rsidR="003666FA">
        <w:t xml:space="preserve"> et al. 2018</w:t>
      </w:r>
      <w:r w:rsidR="00747804">
        <w:t>)</w:t>
      </w:r>
      <w:r w:rsidRPr="004A4A17">
        <w:t xml:space="preserve"> </w:t>
      </w:r>
      <w:r w:rsidR="005C652B">
        <w:t xml:space="preserve">of </w:t>
      </w:r>
      <w:r w:rsidR="002D4C25">
        <w:t xml:space="preserve">matrix-assisted </w:t>
      </w:r>
      <w:r w:rsidR="005F7EE3">
        <w:t>ACI versus microfracture</w:t>
      </w:r>
      <w:r w:rsidR="005C652B">
        <w:t xml:space="preserve"> </w:t>
      </w:r>
      <w:r w:rsidR="00747804">
        <w:t>is the main</w:t>
      </w:r>
      <w:r w:rsidR="004A4A17" w:rsidRPr="004A4A17">
        <w:t xml:space="preserve"> comparative evidence t</w:t>
      </w:r>
      <w:r w:rsidR="008D3F5F">
        <w:t>hat would</w:t>
      </w:r>
      <w:r w:rsidR="004A4A17" w:rsidRPr="004A4A17">
        <w:t xml:space="preserve"> support </w:t>
      </w:r>
      <w:r w:rsidR="008D3F5F">
        <w:t>a claim of</w:t>
      </w:r>
      <w:r w:rsidR="004A4A17" w:rsidRPr="004A4A17">
        <w:t xml:space="preserve"> </w:t>
      </w:r>
      <w:r w:rsidR="008D3F5F">
        <w:t>superiority</w:t>
      </w:r>
      <w:r w:rsidR="005F7EE3">
        <w:t xml:space="preserve">. </w:t>
      </w:r>
      <w:r w:rsidR="00212C83">
        <w:t>Inclusion criteria included a l</w:t>
      </w:r>
      <w:r w:rsidRPr="004A4A17">
        <w:t>esion</w:t>
      </w:r>
      <w:r w:rsidR="00212C83">
        <w:t xml:space="preserve"> size of</w:t>
      </w:r>
      <w:r w:rsidR="00DE6FD6">
        <w:t xml:space="preserve"> </w:t>
      </w:r>
      <w:r w:rsidR="00DE6FD6">
        <w:rPr>
          <w:rFonts w:cs="Calibri"/>
        </w:rPr>
        <w:t>≥ </w:t>
      </w:r>
      <w:r w:rsidRPr="004A4A17">
        <w:t>3</w:t>
      </w:r>
      <w:r w:rsidR="002F4FD5">
        <w:t> </w:t>
      </w:r>
      <w:r w:rsidRPr="004A4A17">
        <w:t>cm²</w:t>
      </w:r>
      <w:r w:rsidR="00D829BF">
        <w:t xml:space="preserve">. No additional comparative studies have been </w:t>
      </w:r>
      <w:r w:rsidR="009D7672">
        <w:t xml:space="preserve">listed by the applicant </w:t>
      </w:r>
      <w:r w:rsidR="00027D5E">
        <w:t>that provide evidence for</w:t>
      </w:r>
      <w:r w:rsidR="009D7672">
        <w:t xml:space="preserve"> </w:t>
      </w:r>
      <w:r w:rsidR="00B96E54">
        <w:t xml:space="preserve">patients with </w:t>
      </w:r>
      <w:r w:rsidR="009D7672">
        <w:t xml:space="preserve">lesions </w:t>
      </w:r>
      <w:r w:rsidR="009D7672">
        <w:rPr>
          <w:rFonts w:cs="Calibri"/>
        </w:rPr>
        <w:t>≥</w:t>
      </w:r>
      <w:r w:rsidR="009D7672">
        <w:t> 2 cm² and &lt; 3 cm²</w:t>
      </w:r>
      <w:r w:rsidR="00194274">
        <w:t xml:space="preserve">; therefore, </w:t>
      </w:r>
      <w:r w:rsidR="005732AE">
        <w:t xml:space="preserve">the evidence and proposed population </w:t>
      </w:r>
      <w:r w:rsidR="000845E2">
        <w:t>may</w:t>
      </w:r>
      <w:r w:rsidR="00392CE8">
        <w:t xml:space="preserve"> not </w:t>
      </w:r>
      <w:r w:rsidR="00E26183">
        <w:t xml:space="preserve">completely </w:t>
      </w:r>
      <w:r w:rsidR="00392CE8">
        <w:t>align</w:t>
      </w:r>
      <w:r w:rsidR="003E4300">
        <w:t>.</w:t>
      </w:r>
      <w:r w:rsidR="005336BA">
        <w:t xml:space="preserve"> </w:t>
      </w:r>
    </w:p>
    <w:p w14:paraId="44E74383" w14:textId="77777777" w:rsidR="00BC6396" w:rsidRDefault="007046DE" w:rsidP="00EB1BC8">
      <w:r>
        <w:t xml:space="preserve">The mean lesion size </w:t>
      </w:r>
      <w:r w:rsidR="00E26183">
        <w:t xml:space="preserve">in the SUMMIT RCT </w:t>
      </w:r>
      <w:r>
        <w:t xml:space="preserve">was 4.8 cm² and ranged from 3 to </w:t>
      </w:r>
      <w:r w:rsidR="00532418" w:rsidRPr="004A4A17">
        <w:t>20 cm²</w:t>
      </w:r>
      <w:r>
        <w:t xml:space="preserve"> (</w:t>
      </w:r>
      <w:r w:rsidR="00212C83">
        <w:t xml:space="preserve">Saris et al. 2014). </w:t>
      </w:r>
      <w:r w:rsidR="00E14559">
        <w:t>Published findings</w:t>
      </w:r>
      <w:r w:rsidR="00863420">
        <w:t xml:space="preserve"> are not </w:t>
      </w:r>
      <w:r w:rsidR="00E14559">
        <w:t>reported by lesions size subgroups</w:t>
      </w:r>
      <w:r w:rsidR="00D230BB">
        <w:t xml:space="preserve"> (e.g. </w:t>
      </w:r>
      <w:r w:rsidR="00D230BB">
        <w:rPr>
          <w:rFonts w:cs="Calibri"/>
        </w:rPr>
        <w:t>≥</w:t>
      </w:r>
      <w:r w:rsidR="00D230BB">
        <w:t xml:space="preserve"> 2 cm² and </w:t>
      </w:r>
      <w:r w:rsidR="00D230BB">
        <w:rPr>
          <w:rFonts w:cs="Calibri"/>
        </w:rPr>
        <w:t>≤</w:t>
      </w:r>
      <w:r w:rsidR="00D230BB">
        <w:t xml:space="preserve"> 4 cm²), </w:t>
      </w:r>
      <w:r w:rsidR="003053AF">
        <w:t>and microfracture may not be the appropriate comparator for lesions &gt; 4 cm² (</w:t>
      </w:r>
      <w:r w:rsidR="00AF6D8B">
        <w:t>as discussed</w:t>
      </w:r>
      <w:r w:rsidR="00767312">
        <w:t xml:space="preserve"> in</w:t>
      </w:r>
      <w:r w:rsidR="00AF6D8B">
        <w:t xml:space="preserve"> the</w:t>
      </w:r>
      <w:r w:rsidR="00767312">
        <w:t xml:space="preserve"> Comparator(s) section)</w:t>
      </w:r>
      <w:r w:rsidR="003053AF">
        <w:t>.</w:t>
      </w:r>
      <w:r w:rsidR="00A852EE">
        <w:t xml:space="preserve"> </w:t>
      </w:r>
    </w:p>
    <w:p w14:paraId="79F4BE88" w14:textId="3827858A" w:rsidR="00E80D97" w:rsidRDefault="007046DE" w:rsidP="00EB1BC8">
      <w:r>
        <w:t>A cost-effectiveness analysis (</w:t>
      </w:r>
      <w:r w:rsidR="00F16D4A" w:rsidRPr="00F16D4A">
        <w:t>Aae</w:t>
      </w:r>
      <w:r w:rsidR="00F16D4A">
        <w:t xml:space="preserve"> et al</w:t>
      </w:r>
      <w:r w:rsidR="00B8272B">
        <w:t>.</w:t>
      </w:r>
      <w:r w:rsidR="00F16D4A">
        <w:t xml:space="preserve"> 2018)</w:t>
      </w:r>
      <w:r w:rsidR="00071362">
        <w:t xml:space="preserve"> </w:t>
      </w:r>
      <w:r w:rsidR="008C47E8">
        <w:t>found that ACI</w:t>
      </w:r>
      <w:r w:rsidR="00223790">
        <w:t xml:space="preserve"> was not cost effective </w:t>
      </w:r>
      <w:r w:rsidR="00312D9B">
        <w:t xml:space="preserve">compared to microfracture. </w:t>
      </w:r>
      <w:r w:rsidR="00EF714E">
        <w:t>However,</w:t>
      </w:r>
      <w:r w:rsidR="00312D9B">
        <w:t xml:space="preserve"> the included studies were not limited to matrix-assisted </w:t>
      </w:r>
      <w:r w:rsidR="008C7712">
        <w:t>ACI and</w:t>
      </w:r>
      <w:r w:rsidR="00312D9B">
        <w:t xml:space="preserve"> </w:t>
      </w:r>
      <w:r w:rsidR="00495744">
        <w:t xml:space="preserve">were likely to be mostly </w:t>
      </w:r>
      <w:r w:rsidR="009E5BAF">
        <w:t>earlier generation ACI</w:t>
      </w:r>
      <w:r w:rsidR="00D304DB">
        <w:t xml:space="preserve"> given</w:t>
      </w:r>
      <w:r w:rsidR="00263E5E">
        <w:t xml:space="preserve"> only</w:t>
      </w:r>
      <w:r w:rsidR="00D304DB">
        <w:t xml:space="preserve"> studies with five-year follow up were </w:t>
      </w:r>
      <w:r w:rsidR="00495744">
        <w:t>eligible for inclusion</w:t>
      </w:r>
      <w:r w:rsidR="00D304DB">
        <w:t xml:space="preserve">. </w:t>
      </w:r>
      <w:r w:rsidR="008C47E8">
        <w:t xml:space="preserve"> </w:t>
      </w:r>
    </w:p>
    <w:p w14:paraId="5FEACAA2" w14:textId="6682665F" w:rsidR="00A44A2D" w:rsidRPr="00E052A2" w:rsidRDefault="007046DE" w:rsidP="00E052A2">
      <w:pPr>
        <w:spacing w:after="360"/>
        <w:rPr>
          <w:i/>
          <w:iCs/>
        </w:rPr>
      </w:pPr>
      <w:r w:rsidRPr="00E052A2">
        <w:rPr>
          <w:i/>
          <w:iCs/>
        </w:rPr>
        <w:lastRenderedPageBreak/>
        <w:t>PASC confirmed that a CUA or CEA would be appropriate for a clinical claim of superiority. PASC noted that the SUMMIT RCT only included patients with lesions ≥</w:t>
      </w:r>
      <w:r w:rsidR="00A31FF1">
        <w:rPr>
          <w:i/>
          <w:iCs/>
        </w:rPr>
        <w:t> </w:t>
      </w:r>
      <w:r w:rsidRPr="00E052A2">
        <w:rPr>
          <w:i/>
          <w:iCs/>
        </w:rPr>
        <w:t>3</w:t>
      </w:r>
      <w:bookmarkStart w:id="15" w:name="_Hlk165892162"/>
      <w:r w:rsidR="003B2017">
        <w:rPr>
          <w:i/>
          <w:iCs/>
        </w:rPr>
        <w:t> </w:t>
      </w:r>
      <w:bookmarkEnd w:id="15"/>
      <w:r w:rsidR="003B2017" w:rsidRPr="003B2017">
        <w:rPr>
          <w:i/>
          <w:iCs/>
        </w:rPr>
        <w:t>cm²</w:t>
      </w:r>
      <w:r w:rsidRPr="00E052A2">
        <w:rPr>
          <w:i/>
          <w:iCs/>
        </w:rPr>
        <w:t xml:space="preserve"> and &lt;</w:t>
      </w:r>
      <w:r w:rsidR="00A31FF1">
        <w:rPr>
          <w:i/>
          <w:iCs/>
        </w:rPr>
        <w:t> </w:t>
      </w:r>
      <w:r w:rsidRPr="00E052A2">
        <w:rPr>
          <w:i/>
          <w:iCs/>
        </w:rPr>
        <w:t>20</w:t>
      </w:r>
      <w:r w:rsidR="00A31FF1">
        <w:rPr>
          <w:i/>
          <w:iCs/>
        </w:rPr>
        <w:t> </w:t>
      </w:r>
      <w:r w:rsidR="003B2017" w:rsidRPr="003B2017">
        <w:rPr>
          <w:i/>
          <w:iCs/>
        </w:rPr>
        <w:t>cm²</w:t>
      </w:r>
      <w:r w:rsidRPr="00E052A2">
        <w:rPr>
          <w:i/>
          <w:iCs/>
        </w:rPr>
        <w:t>, and that no further clinical evidence demonstrating the effectiveness and safety of matrix-assisted ACI compared to microfracture for lesions between 2</w:t>
      </w:r>
      <w:r w:rsidR="00B70BB2">
        <w:rPr>
          <w:i/>
          <w:iCs/>
        </w:rPr>
        <w:t> </w:t>
      </w:r>
      <w:r w:rsidR="00D63857" w:rsidRPr="003B2017">
        <w:rPr>
          <w:i/>
          <w:iCs/>
        </w:rPr>
        <w:t>cm²</w:t>
      </w:r>
      <w:r w:rsidR="00527521">
        <w:rPr>
          <w:i/>
          <w:iCs/>
        </w:rPr>
        <w:t xml:space="preserve"> </w:t>
      </w:r>
      <w:r w:rsidRPr="00E052A2">
        <w:rPr>
          <w:i/>
          <w:iCs/>
        </w:rPr>
        <w:t xml:space="preserve">and </w:t>
      </w:r>
      <w:r w:rsidR="00A31FF1" w:rsidRPr="00E31AA0">
        <w:rPr>
          <w:i/>
          <w:iCs/>
        </w:rPr>
        <w:t>3</w:t>
      </w:r>
      <w:r w:rsidR="00A31FF1">
        <w:rPr>
          <w:i/>
          <w:iCs/>
        </w:rPr>
        <w:t> </w:t>
      </w:r>
      <w:r w:rsidR="00A31FF1" w:rsidRPr="003B2017">
        <w:rPr>
          <w:i/>
          <w:iCs/>
        </w:rPr>
        <w:t>cm²</w:t>
      </w:r>
      <w:r w:rsidR="00A31FF1">
        <w:rPr>
          <w:i/>
          <w:iCs/>
        </w:rPr>
        <w:t xml:space="preserve"> </w:t>
      </w:r>
      <w:r w:rsidRPr="00E052A2">
        <w:rPr>
          <w:i/>
          <w:iCs/>
        </w:rPr>
        <w:t>had been provided.</w:t>
      </w:r>
    </w:p>
    <w:p w14:paraId="047E4738" w14:textId="1D501EE9" w:rsidR="00D73332" w:rsidRPr="00DE762F" w:rsidRDefault="007046DE" w:rsidP="00DE762F">
      <w:pPr>
        <w:pStyle w:val="Heading2"/>
      </w:pPr>
      <w:r w:rsidRPr="00DE762F">
        <w:t>Propos</w:t>
      </w:r>
      <w:r w:rsidR="000D1FCF" w:rsidRPr="00DE762F">
        <w:t>al for public funding</w:t>
      </w:r>
    </w:p>
    <w:p w14:paraId="20BB2FB6" w14:textId="43FF9283" w:rsidR="00AF0E5E" w:rsidRDefault="007046DE" w:rsidP="00AF0E5E">
      <w:pPr>
        <w:spacing w:after="240"/>
        <w:rPr>
          <w:rFonts w:asciiTheme="minorHAnsi" w:eastAsia="Times New Roman" w:hAnsiTheme="minorHAnsi" w:cstheme="minorHAnsi"/>
        </w:rPr>
      </w:pPr>
      <w:r>
        <w:t xml:space="preserve">The </w:t>
      </w:r>
      <w:r w:rsidR="006509F0">
        <w:t>application</w:t>
      </w:r>
      <w:r>
        <w:t xml:space="preserve"> proposed two new MBS items</w:t>
      </w:r>
      <w:r w:rsidR="00FA3CA1">
        <w:t xml:space="preserve">; one for harvesting the </w:t>
      </w:r>
      <w:r w:rsidR="00DC3D9F">
        <w:t>cartilage biopsy</w:t>
      </w:r>
      <w:r w:rsidR="0085230F">
        <w:t xml:space="preserve"> (from which the </w:t>
      </w:r>
      <w:r w:rsidR="00FA3CA1">
        <w:t>chondrocytes</w:t>
      </w:r>
      <w:r w:rsidR="005B2F6C">
        <w:t xml:space="preserve"> </w:t>
      </w:r>
      <w:r w:rsidR="0085230F">
        <w:t xml:space="preserve">are extracted) </w:t>
      </w:r>
      <w:r w:rsidR="005B2F6C">
        <w:t xml:space="preserve">and another for </w:t>
      </w:r>
      <w:r w:rsidR="00AB7A1D">
        <w:t xml:space="preserve">a subsequent procedure to </w:t>
      </w:r>
      <w:r w:rsidR="005B2F6C">
        <w:t>implant the expanded chondrocyte cultur</w:t>
      </w:r>
      <w:r w:rsidR="00AB06E8">
        <w:t>e</w:t>
      </w:r>
      <w:r w:rsidR="005B2F6C">
        <w:t>.</w:t>
      </w:r>
      <w:r w:rsidR="00752DF7">
        <w:t xml:space="preserve"> </w:t>
      </w:r>
      <w:r>
        <w:rPr>
          <w:iCs/>
        </w:rPr>
        <w:t>According to the applicant, arthrotomy is typically used for the implantation procedure, although some surgeons use an arthroscopic approach</w:t>
      </w:r>
      <w:r w:rsidRPr="001268B8">
        <w:rPr>
          <w:iCs/>
        </w:rPr>
        <w:t>.</w:t>
      </w:r>
      <w:r>
        <w:rPr>
          <w:rStyle w:val="FootnoteReference"/>
          <w:iCs/>
        </w:rPr>
        <w:footnoteReference w:id="14"/>
      </w:r>
      <w:r>
        <w:rPr>
          <w:iCs/>
        </w:rPr>
        <w:t xml:space="preserve"> The application state</w:t>
      </w:r>
      <w:r w:rsidR="00745EB7">
        <w:rPr>
          <w:iCs/>
        </w:rPr>
        <w:t>d</w:t>
      </w:r>
      <w:r>
        <w:rPr>
          <w:iCs/>
        </w:rPr>
        <w:t xml:space="preserve"> both the harvesting and implantation procedures are inpatient, day surgeries. </w:t>
      </w:r>
      <w:r w:rsidRPr="003F4B2E">
        <w:rPr>
          <w:iCs/>
        </w:rPr>
        <w:t xml:space="preserve">According to the </w:t>
      </w:r>
      <w:r>
        <w:rPr>
          <w:iCs/>
        </w:rPr>
        <w:t>application</w:t>
      </w:r>
      <w:r w:rsidRPr="003F4B2E">
        <w:rPr>
          <w:iCs/>
        </w:rPr>
        <w:t xml:space="preserve">, </w:t>
      </w:r>
      <w:r>
        <w:rPr>
          <w:iCs/>
        </w:rPr>
        <w:t xml:space="preserve">ACI </w:t>
      </w:r>
      <w:r w:rsidRPr="003F4B2E">
        <w:rPr>
          <w:iCs/>
        </w:rPr>
        <w:t xml:space="preserve">must be </w:t>
      </w:r>
      <w:r>
        <w:rPr>
          <w:iCs/>
        </w:rPr>
        <w:t>performed</w:t>
      </w:r>
      <w:r w:rsidRPr="003F4B2E">
        <w:rPr>
          <w:iCs/>
        </w:rPr>
        <w:t xml:space="preserve"> by an orthopaedic surgeon who has undergone </w:t>
      </w:r>
      <w:r w:rsidRPr="003F4B2E">
        <w:rPr>
          <w:rFonts w:asciiTheme="minorHAnsi" w:eastAsia="Times New Roman" w:hAnsiTheme="minorHAnsi" w:cstheme="minorHAnsi"/>
          <w:iCs/>
        </w:rPr>
        <w:t>Orthocell</w:t>
      </w:r>
      <w:r>
        <w:rPr>
          <w:rFonts w:asciiTheme="minorHAnsi" w:eastAsia="Times New Roman" w:hAnsiTheme="minorHAnsi" w:cstheme="minorHAnsi"/>
          <w:iCs/>
        </w:rPr>
        <w:t xml:space="preserve"> Ltd</w:t>
      </w:r>
      <w:r w:rsidRPr="003F4B2E">
        <w:rPr>
          <w:rFonts w:asciiTheme="minorHAnsi" w:eastAsia="Times New Roman" w:hAnsiTheme="minorHAnsi" w:cstheme="minorHAnsi"/>
          <w:iCs/>
        </w:rPr>
        <w:t xml:space="preserve"> training in the use of OrthoACI</w:t>
      </w:r>
      <w:r>
        <w:rPr>
          <w:rFonts w:asciiTheme="minorHAnsi" w:eastAsia="Times New Roman" w:hAnsiTheme="minorHAnsi" w:cstheme="minorHAnsi"/>
          <w:iCs/>
        </w:rPr>
        <w:t xml:space="preserve">. </w:t>
      </w:r>
      <w:r w:rsidRPr="009739B6">
        <w:rPr>
          <w:rFonts w:asciiTheme="minorHAnsi" w:eastAsia="Times New Roman" w:hAnsiTheme="minorHAnsi" w:cstheme="minorHAnsi"/>
        </w:rPr>
        <w:t xml:space="preserve">The supply of OrthoACI is restricted to relevant medical professionals who have </w:t>
      </w:r>
      <w:r>
        <w:rPr>
          <w:rFonts w:asciiTheme="minorHAnsi" w:eastAsia="Times New Roman" w:hAnsiTheme="minorHAnsi" w:cstheme="minorHAnsi"/>
        </w:rPr>
        <w:t xml:space="preserve">completed </w:t>
      </w:r>
      <w:r w:rsidRPr="009739B6">
        <w:rPr>
          <w:rFonts w:asciiTheme="minorHAnsi" w:eastAsia="Times New Roman" w:hAnsiTheme="minorHAnsi" w:cstheme="minorHAnsi"/>
        </w:rPr>
        <w:t xml:space="preserve">the training program. Training </w:t>
      </w:r>
      <w:r>
        <w:rPr>
          <w:rFonts w:asciiTheme="minorHAnsi" w:eastAsia="Times New Roman" w:hAnsiTheme="minorHAnsi" w:cstheme="minorHAnsi"/>
        </w:rPr>
        <w:t xml:space="preserve">consists of </w:t>
      </w:r>
      <w:r w:rsidRPr="009739B6">
        <w:rPr>
          <w:rFonts w:asciiTheme="minorHAnsi" w:eastAsia="Times New Roman" w:hAnsiTheme="minorHAnsi" w:cstheme="minorHAnsi"/>
        </w:rPr>
        <w:t xml:space="preserve">a presentation delivered by Orthocell Ltd representatives </w:t>
      </w:r>
      <w:r>
        <w:rPr>
          <w:rFonts w:asciiTheme="minorHAnsi" w:eastAsia="Times New Roman" w:hAnsiTheme="minorHAnsi" w:cstheme="minorHAnsi"/>
        </w:rPr>
        <w:t xml:space="preserve">to </w:t>
      </w:r>
      <w:r w:rsidRPr="009739B6">
        <w:rPr>
          <w:rFonts w:asciiTheme="minorHAnsi" w:eastAsia="Times New Roman" w:hAnsiTheme="minorHAnsi" w:cstheme="minorHAnsi"/>
        </w:rPr>
        <w:t xml:space="preserve">provide </w:t>
      </w:r>
      <w:r>
        <w:rPr>
          <w:rFonts w:asciiTheme="minorHAnsi" w:eastAsia="Times New Roman" w:hAnsiTheme="minorHAnsi" w:cstheme="minorHAnsi"/>
        </w:rPr>
        <w:t xml:space="preserve">initial </w:t>
      </w:r>
      <w:r w:rsidRPr="009739B6">
        <w:rPr>
          <w:rFonts w:asciiTheme="minorHAnsi" w:eastAsia="Times New Roman" w:hAnsiTheme="minorHAnsi" w:cstheme="minorHAnsi"/>
        </w:rPr>
        <w:t>familiarisation with the product and processes</w:t>
      </w:r>
      <w:r>
        <w:rPr>
          <w:rFonts w:asciiTheme="minorHAnsi" w:eastAsia="Times New Roman" w:hAnsiTheme="minorHAnsi" w:cstheme="minorHAnsi"/>
        </w:rPr>
        <w:t xml:space="preserve">. </w:t>
      </w:r>
    </w:p>
    <w:p w14:paraId="191280E4" w14:textId="0333EC41" w:rsidR="00286CCF" w:rsidRDefault="007046DE" w:rsidP="00731E9B">
      <w:pPr>
        <w:pStyle w:val="Heading3"/>
      </w:pPr>
      <w:r>
        <w:t xml:space="preserve">Proposed </w:t>
      </w:r>
      <w:r w:rsidR="00F74F60">
        <w:t xml:space="preserve">MBS item and </w:t>
      </w:r>
      <w:r>
        <w:t>fee</w:t>
      </w:r>
      <w:r w:rsidR="00F74F60">
        <w:t xml:space="preserve"> for </w:t>
      </w:r>
      <w:r w:rsidR="009D7544">
        <w:t>harvesting procedure</w:t>
      </w:r>
    </w:p>
    <w:p w14:paraId="28DE944A" w14:textId="7B31321B" w:rsidR="004978F2" w:rsidRDefault="007046DE" w:rsidP="003A371C">
      <w:r>
        <w:t>T</w:t>
      </w:r>
      <w:r w:rsidR="003A371C">
        <w:t>he applicat</w:t>
      </w:r>
      <w:r w:rsidR="006854D7">
        <w:t>ion</w:t>
      </w:r>
      <w:r w:rsidR="003A371C">
        <w:t xml:space="preserve"> proposed an item descriptor</w:t>
      </w:r>
      <w:r w:rsidR="00EC5025">
        <w:t xml:space="preserve"> for the harvesting procedure</w:t>
      </w:r>
      <w:r w:rsidR="003A371C">
        <w:t>; this has been modified in the proposed new MBS item (</w:t>
      </w:r>
      <w:r w:rsidR="003A371C">
        <w:fldChar w:fldCharType="begin"/>
      </w:r>
      <w:r w:rsidR="003A371C">
        <w:instrText xml:space="preserve"> REF _Ref160828764 \h </w:instrText>
      </w:r>
      <w:r w:rsidR="003A371C">
        <w:fldChar w:fldCharType="separate"/>
      </w:r>
      <w:r w:rsidR="00E602A3">
        <w:t xml:space="preserve">Table </w:t>
      </w:r>
      <w:r w:rsidR="00E602A3">
        <w:rPr>
          <w:noProof/>
        </w:rPr>
        <w:t>9</w:t>
      </w:r>
      <w:r w:rsidR="003A371C">
        <w:fldChar w:fldCharType="end"/>
      </w:r>
      <w:r w:rsidR="003A371C">
        <w:t>) to match the population developed</w:t>
      </w:r>
      <w:r w:rsidR="003A371C" w:rsidRPr="009528C3">
        <w:t xml:space="preserve"> </w:t>
      </w:r>
      <w:r w:rsidR="003A371C">
        <w:t xml:space="preserve">for this PICO </w:t>
      </w:r>
      <w:r w:rsidR="001B272B">
        <w:t>c</w:t>
      </w:r>
      <w:r w:rsidR="003A371C">
        <w:t>onfirmation</w:t>
      </w:r>
      <w:r>
        <w:t xml:space="preserve"> (shown using </w:t>
      </w:r>
      <w:r w:rsidR="00ED3F52">
        <w:t>blue text/strikethrough)</w:t>
      </w:r>
      <w:r w:rsidR="003A371C">
        <w:t>.</w:t>
      </w:r>
      <w:r w:rsidR="00E553A6">
        <w:t xml:space="preserve"> </w:t>
      </w:r>
    </w:p>
    <w:p w14:paraId="4341369E" w14:textId="012CB09A" w:rsidR="003A371C" w:rsidRDefault="007046DE" w:rsidP="003A371C">
      <w:r>
        <w:t xml:space="preserve">The application proposed </w:t>
      </w:r>
      <w:r w:rsidR="003C1464">
        <w:t xml:space="preserve">a fee of </w:t>
      </w:r>
      <w:r w:rsidR="008A1EC2">
        <w:t xml:space="preserve">$849.45 </w:t>
      </w:r>
      <w:r w:rsidR="00884E36" w:rsidRPr="00884E36">
        <w:t xml:space="preserve">for the proposed </w:t>
      </w:r>
      <w:r w:rsidR="00FA3E69">
        <w:t>cartilage</w:t>
      </w:r>
      <w:r w:rsidR="00FA3E69" w:rsidRPr="00884E36">
        <w:t xml:space="preserve"> </w:t>
      </w:r>
      <w:r w:rsidR="00884E36" w:rsidRPr="00884E36">
        <w:t>harvesting item</w:t>
      </w:r>
      <w:r w:rsidR="00AC11D9">
        <w:t xml:space="preserve"> and referenced the</w:t>
      </w:r>
      <w:r>
        <w:t xml:space="preserve"> MBS item 49584 (arthroscopic grafting; f</w:t>
      </w:r>
      <w:r w:rsidRPr="00BF3F4B">
        <w:t>ee: $853.70</w:t>
      </w:r>
      <w:r>
        <w:t xml:space="preserve">). MBS item </w:t>
      </w:r>
      <w:r w:rsidR="00E37F55">
        <w:t xml:space="preserve">49584 </w:t>
      </w:r>
      <w:r>
        <w:t xml:space="preserve">is for complex </w:t>
      </w:r>
      <w:r w:rsidRPr="001850C2">
        <w:t>arthroscopic procedures</w:t>
      </w:r>
      <w:r w:rsidR="00E37F55" w:rsidRPr="001850C2">
        <w:t xml:space="preserve"> (</w:t>
      </w:r>
      <w:r w:rsidR="00E37F55" w:rsidRPr="001850C2">
        <w:fldChar w:fldCharType="begin"/>
      </w:r>
      <w:r w:rsidR="00E37F55" w:rsidRPr="001850C2">
        <w:instrText xml:space="preserve"> REF _Ref160828255 \h </w:instrText>
      </w:r>
      <w:r w:rsidR="001850C2">
        <w:instrText xml:space="preserve"> \* MERGEFORMAT </w:instrText>
      </w:r>
      <w:r w:rsidR="00E37F55" w:rsidRPr="001850C2">
        <w:fldChar w:fldCharType="separate"/>
      </w:r>
      <w:r w:rsidR="00E602A3" w:rsidRPr="001850C2">
        <w:t xml:space="preserve">Table </w:t>
      </w:r>
      <w:r w:rsidR="00E602A3" w:rsidRPr="001850C2">
        <w:rPr>
          <w:noProof/>
        </w:rPr>
        <w:t>10</w:t>
      </w:r>
      <w:r w:rsidR="00E37F55" w:rsidRPr="001850C2">
        <w:fldChar w:fldCharType="end"/>
      </w:r>
      <w:r w:rsidR="00E37F55" w:rsidRPr="001850C2">
        <w:t>)</w:t>
      </w:r>
      <w:r w:rsidRPr="001850C2">
        <w:rPr>
          <w:rStyle w:val="FootnoteReference"/>
        </w:rPr>
        <w:footnoteReference w:id="15"/>
      </w:r>
      <w:r w:rsidRPr="001850C2">
        <w:t xml:space="preserve"> however, the application did not provide further information to justify that the proposed procedure is of the same complexity and time</w:t>
      </w:r>
      <w:r w:rsidR="00FA1A19" w:rsidRPr="001850C2">
        <w:t xml:space="preserve"> as MBS item 49584</w:t>
      </w:r>
      <w:r w:rsidRPr="001850C2">
        <w:t>. Therefore, the proposed fee would need to be justified in the assessment report in terms of the length of time and complexity of the procedure. The application described the harvest procedure as an arthroscopic biopsy, so MBS item 49570 (arthroscopic biopsy; fee: $300.45</w:t>
      </w:r>
      <w:r w:rsidR="001D1201" w:rsidRPr="001850C2">
        <w:t xml:space="preserve">, </w:t>
      </w:r>
      <w:r w:rsidR="001D1201" w:rsidRPr="001850C2">
        <w:fldChar w:fldCharType="begin"/>
      </w:r>
      <w:r w:rsidR="001D1201" w:rsidRPr="001850C2">
        <w:instrText xml:space="preserve"> REF _Ref160828255 \h </w:instrText>
      </w:r>
      <w:r w:rsidR="009A25E0" w:rsidRPr="007A19A3">
        <w:instrText xml:space="preserve"> \* MERGEFORMAT </w:instrText>
      </w:r>
      <w:r w:rsidR="001D1201" w:rsidRPr="001850C2">
        <w:fldChar w:fldCharType="separate"/>
      </w:r>
      <w:r w:rsidR="00E602A3" w:rsidRPr="001850C2">
        <w:t xml:space="preserve">Table </w:t>
      </w:r>
      <w:r w:rsidR="00E602A3" w:rsidRPr="001850C2">
        <w:rPr>
          <w:noProof/>
        </w:rPr>
        <w:t>10</w:t>
      </w:r>
      <w:r w:rsidR="001D1201" w:rsidRPr="001850C2">
        <w:fldChar w:fldCharType="end"/>
      </w:r>
      <w:r w:rsidRPr="001850C2">
        <w:t>) may be a more appropriate guide for the proposed fee.</w:t>
      </w:r>
      <w:r>
        <w:t xml:space="preserve"> </w:t>
      </w:r>
    </w:p>
    <w:p w14:paraId="381EBA30" w14:textId="0B1C522C" w:rsidR="0013515D" w:rsidRDefault="007046DE" w:rsidP="0013515D">
      <w:pPr>
        <w:pStyle w:val="Caption"/>
      </w:pPr>
      <w:bookmarkStart w:id="16" w:name="_Ref160828764"/>
      <w:r>
        <w:lastRenderedPageBreak/>
        <w:t xml:space="preserve">Table </w:t>
      </w:r>
      <w:r>
        <w:fldChar w:fldCharType="begin"/>
      </w:r>
      <w:r>
        <w:instrText xml:space="preserve"> SEQ Table \* ARABIC </w:instrText>
      </w:r>
      <w:r>
        <w:fldChar w:fldCharType="separate"/>
      </w:r>
      <w:r w:rsidR="00E602A3">
        <w:rPr>
          <w:noProof/>
        </w:rPr>
        <w:t>9</w:t>
      </w:r>
      <w:r>
        <w:fldChar w:fldCharType="end"/>
      </w:r>
      <w:bookmarkEnd w:id="16"/>
      <w:r>
        <w:tab/>
        <w:t>Proposed MBS item descriptor and fee for the chondrocyte harvesting procedure</w:t>
      </w:r>
    </w:p>
    <w:tbl>
      <w:tblPr>
        <w:tblStyle w:val="TableGrid"/>
        <w:tblW w:w="5000" w:type="pct"/>
        <w:tblLook w:val="04A0" w:firstRow="1" w:lastRow="0" w:firstColumn="1" w:lastColumn="0" w:noHBand="0" w:noVBand="1"/>
        <w:tblCaption w:val="Table 9 Proposed MBS item descriptor and fee for the chondrocyte harvesting procedure"/>
        <w:tblDescription w:val="This table presents the proposed MBS item descriptor and fee for the chondrocyte harvesting procedure."/>
      </w:tblPr>
      <w:tblGrid>
        <w:gridCol w:w="9571"/>
      </w:tblGrid>
      <w:tr w:rsidR="00FD7D5C" w14:paraId="749CA132" w14:textId="77777777" w:rsidTr="46B95BBF">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0DD9A48C" w14:textId="77777777" w:rsidR="0013515D" w:rsidRPr="003E1A1A" w:rsidRDefault="007046DE" w:rsidP="00BD6E6C">
            <w:pPr>
              <w:spacing w:before="40" w:after="40" w:line="240" w:lineRule="auto"/>
              <w:rPr>
                <w:rFonts w:ascii="Arial Narrow" w:hAnsi="Arial Narrow"/>
                <w:sz w:val="20"/>
                <w:szCs w:val="20"/>
              </w:rPr>
            </w:pPr>
            <w:r w:rsidRPr="003E1A1A">
              <w:rPr>
                <w:rFonts w:ascii="Arial Narrow" w:hAnsi="Arial Narrow"/>
                <w:sz w:val="20"/>
                <w:szCs w:val="20"/>
              </w:rPr>
              <w:t>Category 3 – Therapeutic Procedures</w:t>
            </w:r>
          </w:p>
          <w:p w14:paraId="718A51EB" w14:textId="798C651E" w:rsidR="0013515D" w:rsidRPr="00B437BF" w:rsidRDefault="007046DE" w:rsidP="00BD6E6C">
            <w:pPr>
              <w:spacing w:before="40" w:after="40" w:line="240" w:lineRule="auto"/>
              <w:rPr>
                <w:rFonts w:ascii="Arial Narrow" w:hAnsi="Arial Narrow"/>
                <w:sz w:val="20"/>
                <w:szCs w:val="20"/>
              </w:rPr>
            </w:pPr>
            <w:r w:rsidRPr="00B437BF">
              <w:rPr>
                <w:rFonts w:ascii="Arial Narrow" w:hAnsi="Arial Narrow"/>
                <w:sz w:val="20"/>
                <w:szCs w:val="20"/>
              </w:rPr>
              <w:t>Group T8 – Surgical Operations</w:t>
            </w:r>
          </w:p>
          <w:p w14:paraId="62759403" w14:textId="77777777" w:rsidR="0013515D" w:rsidRPr="00B437BF" w:rsidRDefault="007046DE" w:rsidP="00BD6E6C">
            <w:pPr>
              <w:spacing w:before="40" w:after="40" w:line="240" w:lineRule="auto"/>
              <w:rPr>
                <w:rFonts w:ascii="Arial Narrow" w:hAnsi="Arial Narrow"/>
                <w:sz w:val="20"/>
                <w:szCs w:val="20"/>
              </w:rPr>
            </w:pPr>
            <w:r w:rsidRPr="00B437BF">
              <w:rPr>
                <w:rFonts w:ascii="Arial Narrow" w:hAnsi="Arial Narrow"/>
                <w:sz w:val="20"/>
                <w:szCs w:val="20"/>
              </w:rPr>
              <w:t>Subgroup 15 – Orthopaedic</w:t>
            </w:r>
          </w:p>
          <w:p w14:paraId="53BC29CE" w14:textId="2A183F02" w:rsidR="0013515D" w:rsidRPr="003E1A1A" w:rsidRDefault="007046DE" w:rsidP="00BD6E6C">
            <w:pPr>
              <w:spacing w:before="40" w:after="40" w:line="240" w:lineRule="auto"/>
              <w:rPr>
                <w:rFonts w:ascii="Arial Narrow" w:hAnsi="Arial Narrow"/>
                <w:sz w:val="20"/>
                <w:szCs w:val="20"/>
              </w:rPr>
            </w:pPr>
            <w:r w:rsidRPr="00B437BF">
              <w:rPr>
                <w:rFonts w:ascii="Arial Narrow" w:hAnsi="Arial Narrow"/>
                <w:sz w:val="20"/>
                <w:szCs w:val="20"/>
              </w:rPr>
              <w:t>Subheading – 12 Knee</w:t>
            </w:r>
          </w:p>
        </w:tc>
      </w:tr>
      <w:tr w:rsidR="00FD7D5C" w14:paraId="358C1CC5" w14:textId="77777777" w:rsidTr="46B95BBF">
        <w:trPr>
          <w:cantSplit/>
          <w:tblHeader/>
        </w:trPr>
        <w:tc>
          <w:tcPr>
            <w:tcW w:w="5000" w:type="pct"/>
            <w:tcBorders>
              <w:top w:val="single" w:sz="4" w:space="0" w:color="auto"/>
              <w:left w:val="single" w:sz="4" w:space="0" w:color="auto"/>
              <w:bottom w:val="single" w:sz="4" w:space="0" w:color="auto"/>
              <w:right w:val="single" w:sz="4" w:space="0" w:color="auto"/>
            </w:tcBorders>
          </w:tcPr>
          <w:p w14:paraId="60776415" w14:textId="77777777" w:rsidR="009F5151" w:rsidRPr="00B437BF" w:rsidRDefault="007046DE" w:rsidP="009F5151">
            <w:pPr>
              <w:spacing w:before="120" w:after="120" w:line="240" w:lineRule="auto"/>
              <w:rPr>
                <w:rFonts w:ascii="Arial Narrow" w:hAnsi="Arial Narrow"/>
                <w:sz w:val="20"/>
                <w:szCs w:val="20"/>
              </w:rPr>
            </w:pPr>
            <w:r w:rsidRPr="00B437BF">
              <w:rPr>
                <w:rFonts w:ascii="Arial Narrow" w:hAnsi="Arial Narrow"/>
                <w:sz w:val="20"/>
                <w:szCs w:val="20"/>
              </w:rPr>
              <w:t>MBS item XXXX</w:t>
            </w:r>
          </w:p>
          <w:p w14:paraId="5F476DFE" w14:textId="52134E3A" w:rsidR="009F5151" w:rsidRPr="00B437BF" w:rsidRDefault="007046DE" w:rsidP="009F5151">
            <w:pPr>
              <w:spacing w:before="120" w:after="0" w:line="240" w:lineRule="auto"/>
              <w:rPr>
                <w:rFonts w:ascii="Arial Narrow" w:hAnsi="Arial Narrow"/>
                <w:i/>
                <w:iCs/>
                <w:sz w:val="20"/>
                <w:szCs w:val="20"/>
              </w:rPr>
            </w:pPr>
            <w:r w:rsidRPr="00B437BF">
              <w:rPr>
                <w:rFonts w:ascii="Arial Narrow" w:hAnsi="Arial Narrow"/>
                <w:i/>
                <w:iCs/>
                <w:sz w:val="20"/>
                <w:szCs w:val="20"/>
              </w:rPr>
              <w:t>Arthroscopic</w:t>
            </w:r>
            <w:r w:rsidRPr="00B437BF">
              <w:rPr>
                <w:rFonts w:ascii="Arial Narrow" w:hAnsi="Arial Narrow"/>
                <w:sz w:val="20"/>
                <w:szCs w:val="20"/>
              </w:rPr>
              <w:t xml:space="preserve"> </w:t>
            </w:r>
            <w:r w:rsidRPr="003E1A1A">
              <w:rPr>
                <w:rFonts w:ascii="Arial Narrow" w:hAnsi="Arial Narrow"/>
                <w:sz w:val="20"/>
                <w:szCs w:val="20"/>
              </w:rPr>
              <w:t xml:space="preserve">harvesting of </w:t>
            </w:r>
            <w:r w:rsidR="00972929">
              <w:rPr>
                <w:rFonts w:ascii="Arial Narrow" w:hAnsi="Arial Narrow"/>
                <w:sz w:val="20"/>
                <w:szCs w:val="20"/>
              </w:rPr>
              <w:t>cartilage</w:t>
            </w:r>
            <w:r w:rsidR="00972929" w:rsidRPr="003E1A1A">
              <w:rPr>
                <w:rFonts w:ascii="Arial Narrow" w:hAnsi="Arial Narrow"/>
                <w:sz w:val="20"/>
                <w:szCs w:val="20"/>
              </w:rPr>
              <w:t xml:space="preserve"> </w:t>
            </w:r>
            <w:r w:rsidRPr="003E1A1A">
              <w:rPr>
                <w:rFonts w:ascii="Arial Narrow" w:hAnsi="Arial Narrow"/>
                <w:sz w:val="20"/>
                <w:szCs w:val="20"/>
              </w:rPr>
              <w:t xml:space="preserve">of knee for preparation of Autologous Chondrocytes Implantation </w:t>
            </w:r>
            <w:r w:rsidR="007C1494">
              <w:rPr>
                <w:rFonts w:ascii="Arial Narrow" w:hAnsi="Arial Narrow"/>
                <w:sz w:val="20"/>
                <w:szCs w:val="20"/>
              </w:rPr>
              <w:t>–</w:t>
            </w:r>
            <w:r w:rsidRPr="003E1A1A">
              <w:rPr>
                <w:rFonts w:ascii="Arial Narrow" w:hAnsi="Arial Narrow"/>
                <w:sz w:val="20"/>
                <w:szCs w:val="20"/>
              </w:rPr>
              <w:t xml:space="preserve"> where patients</w:t>
            </w:r>
            <w:r w:rsidRPr="003E1A1A">
              <w:rPr>
                <w:rFonts w:ascii="Arial Narrow" w:hAnsi="Arial Narrow"/>
                <w:sz w:val="20"/>
                <w:szCs w:val="20"/>
                <w:vertAlign w:val="subscript"/>
              </w:rPr>
              <w:t xml:space="preserve"> </w:t>
            </w:r>
            <w:r w:rsidRPr="003E1A1A">
              <w:rPr>
                <w:rFonts w:ascii="Arial Narrow" w:hAnsi="Arial Narrow"/>
                <w:sz w:val="20"/>
                <w:szCs w:val="20"/>
              </w:rPr>
              <w:t xml:space="preserve">are aged between </w:t>
            </w:r>
            <w:r w:rsidRPr="003E1A1A">
              <w:rPr>
                <w:rFonts w:ascii="Arial Narrow" w:hAnsi="Arial Narrow"/>
                <w:strike/>
                <w:sz w:val="20"/>
                <w:szCs w:val="20"/>
              </w:rPr>
              <w:t>15</w:t>
            </w:r>
            <w:r w:rsidRPr="00B437BF">
              <w:rPr>
                <w:rFonts w:ascii="Arial Narrow" w:hAnsi="Arial Narrow"/>
                <w:sz w:val="20"/>
                <w:szCs w:val="20"/>
              </w:rPr>
              <w:t>18</w:t>
            </w:r>
            <w:r w:rsidRPr="003E1A1A">
              <w:rPr>
                <w:rFonts w:ascii="Arial Narrow" w:hAnsi="Arial Narrow"/>
                <w:sz w:val="20"/>
                <w:szCs w:val="20"/>
              </w:rPr>
              <w:t>-55 years</w:t>
            </w:r>
            <w:r w:rsidRPr="003E1A1A">
              <w:rPr>
                <w:rFonts w:ascii="Arial Narrow" w:hAnsi="Arial Narrow"/>
                <w:strike/>
                <w:sz w:val="20"/>
                <w:szCs w:val="20"/>
              </w:rPr>
              <w:t>;- have a focal chondral defect which is ≥ 2cm²;</w:t>
            </w:r>
            <w:r w:rsidRPr="00B437BF">
              <w:rPr>
                <w:rFonts w:ascii="Arial Narrow" w:hAnsi="Arial Narrow"/>
                <w:i/>
                <w:iCs/>
                <w:sz w:val="20"/>
                <w:szCs w:val="20"/>
              </w:rPr>
              <w:t>and have one or more symptomatic focal chondral or osteochondral defects of the knee that are</w:t>
            </w:r>
          </w:p>
          <w:p w14:paraId="5253867C" w14:textId="77777777" w:rsidR="009F5151" w:rsidRPr="00B437BF" w:rsidRDefault="007046DE" w:rsidP="009F5151">
            <w:pPr>
              <w:pStyle w:val="ListParagraph"/>
              <w:numPr>
                <w:ilvl w:val="0"/>
                <w:numId w:val="12"/>
              </w:numPr>
              <w:spacing w:before="40" w:after="120" w:line="240" w:lineRule="auto"/>
              <w:rPr>
                <w:rFonts w:ascii="Arial Narrow" w:hAnsi="Arial Narrow"/>
                <w:i/>
                <w:iCs/>
                <w:sz w:val="20"/>
                <w:szCs w:val="20"/>
              </w:rPr>
            </w:pPr>
            <w:r w:rsidRPr="00B437BF">
              <w:rPr>
                <w:rFonts w:ascii="Arial Narrow" w:hAnsi="Arial Narrow"/>
                <w:i/>
                <w:iCs/>
                <w:sz w:val="20"/>
                <w:szCs w:val="20"/>
              </w:rPr>
              <w:t>at least 2 cm² but smaller than 20 cm² in size in an otherwise normal joint</w:t>
            </w:r>
          </w:p>
          <w:p w14:paraId="695B1B63" w14:textId="77777777" w:rsidR="009F5151" w:rsidRPr="00B437BF" w:rsidRDefault="007046DE" w:rsidP="009F5151">
            <w:pPr>
              <w:pStyle w:val="ListParagraph"/>
              <w:numPr>
                <w:ilvl w:val="0"/>
                <w:numId w:val="12"/>
              </w:numPr>
              <w:spacing w:before="120" w:after="120" w:line="240" w:lineRule="auto"/>
              <w:rPr>
                <w:rFonts w:ascii="Arial Narrow" w:hAnsi="Arial Narrow"/>
                <w:i/>
                <w:iCs/>
                <w:sz w:val="20"/>
                <w:szCs w:val="20"/>
              </w:rPr>
            </w:pPr>
            <w:r w:rsidRPr="00B437BF">
              <w:rPr>
                <w:rFonts w:ascii="Arial Narrow" w:hAnsi="Arial Narrow"/>
                <w:i/>
                <w:iCs/>
                <w:sz w:val="20"/>
                <w:szCs w:val="20"/>
              </w:rPr>
              <w:t>ICRS grade 3 or 4</w:t>
            </w:r>
          </w:p>
          <w:p w14:paraId="673684B9" w14:textId="77777777" w:rsidR="009F5151" w:rsidRPr="00B437BF" w:rsidRDefault="007046DE" w:rsidP="009F5151">
            <w:pPr>
              <w:spacing w:before="120" w:after="0" w:line="240" w:lineRule="auto"/>
              <w:rPr>
                <w:rFonts w:ascii="Arial Narrow" w:hAnsi="Arial Narrow"/>
                <w:i/>
                <w:iCs/>
                <w:sz w:val="20"/>
                <w:szCs w:val="20"/>
              </w:rPr>
            </w:pPr>
            <w:r w:rsidRPr="00B437BF">
              <w:rPr>
                <w:rFonts w:ascii="Arial Narrow" w:hAnsi="Arial Narrow"/>
                <w:i/>
                <w:iCs/>
                <w:sz w:val="20"/>
                <w:szCs w:val="20"/>
              </w:rPr>
              <w:t>and who do not have rheumatoid or other inflammatory arthritic conditions, osteoarthritis or unstable or mal-aligned joints, unless being concurrently corrected.</w:t>
            </w:r>
          </w:p>
          <w:p w14:paraId="0BBD0291" w14:textId="6EF2BB11" w:rsidR="00267FDD" w:rsidRPr="00B437BF" w:rsidRDefault="007046DE" w:rsidP="00BD6E6C">
            <w:pPr>
              <w:spacing w:before="120" w:after="120" w:line="240" w:lineRule="auto"/>
              <w:rPr>
                <w:rFonts w:ascii="Arial Narrow" w:hAnsi="Arial Narrow"/>
                <w:i/>
                <w:iCs/>
                <w:sz w:val="20"/>
                <w:szCs w:val="20"/>
              </w:rPr>
            </w:pPr>
            <w:r w:rsidRPr="00B437BF">
              <w:rPr>
                <w:rFonts w:ascii="Arial Narrow" w:hAnsi="Arial Narrow"/>
                <w:i/>
                <w:iCs/>
                <w:sz w:val="20"/>
                <w:szCs w:val="20"/>
              </w:rPr>
              <w:t>First of two surgical procedures, with subsequent in vitro culture expansion and chondrocyte implantation.</w:t>
            </w:r>
          </w:p>
          <w:p w14:paraId="418B50ED" w14:textId="6B47B704" w:rsidR="00AE47C4" w:rsidRPr="00B437BF" w:rsidRDefault="007046DE" w:rsidP="00AE47C4">
            <w:pPr>
              <w:spacing w:before="120" w:after="120" w:line="240" w:lineRule="auto"/>
              <w:rPr>
                <w:rFonts w:ascii="Arial Narrow" w:hAnsi="Arial Narrow"/>
                <w:i/>
                <w:iCs/>
                <w:sz w:val="20"/>
                <w:szCs w:val="20"/>
              </w:rPr>
            </w:pPr>
            <w:r w:rsidRPr="00B437BF">
              <w:rPr>
                <w:rFonts w:ascii="Arial Narrow" w:hAnsi="Arial Narrow"/>
                <w:i/>
                <w:iCs/>
                <w:sz w:val="20"/>
                <w:szCs w:val="20"/>
              </w:rPr>
              <w:t>Multiple Operation Rule</w:t>
            </w:r>
          </w:p>
          <w:p w14:paraId="28B607FF" w14:textId="02588D48" w:rsidR="00131C50" w:rsidRPr="00B437BF" w:rsidRDefault="007046DE" w:rsidP="00BD6E6C">
            <w:pPr>
              <w:spacing w:before="120" w:after="120" w:line="240" w:lineRule="auto"/>
              <w:rPr>
                <w:rFonts w:ascii="Arial Narrow" w:hAnsi="Arial Narrow"/>
                <w:i/>
                <w:iCs/>
                <w:sz w:val="20"/>
                <w:szCs w:val="20"/>
              </w:rPr>
            </w:pPr>
            <w:r w:rsidRPr="00B437BF">
              <w:rPr>
                <w:rFonts w:ascii="Arial Narrow" w:hAnsi="Arial Narrow"/>
                <w:i/>
                <w:iCs/>
                <w:sz w:val="20"/>
                <w:szCs w:val="20"/>
              </w:rPr>
              <w:t>(H)</w:t>
            </w:r>
          </w:p>
          <w:p w14:paraId="3CCD92F9" w14:textId="77777777" w:rsidR="0013515D" w:rsidRPr="003E1A1A" w:rsidRDefault="007046DE" w:rsidP="00BD6E6C">
            <w:pPr>
              <w:spacing w:before="120" w:after="120" w:line="240" w:lineRule="auto"/>
              <w:rPr>
                <w:rFonts w:ascii="Arial Narrow" w:hAnsi="Arial Narrow"/>
                <w:sz w:val="20"/>
                <w:szCs w:val="20"/>
              </w:rPr>
            </w:pPr>
            <w:r w:rsidRPr="00B437BF">
              <w:rPr>
                <w:rFonts w:ascii="Arial Narrow" w:hAnsi="Arial Narrow"/>
                <w:i/>
                <w:iCs/>
                <w:sz w:val="20"/>
                <w:szCs w:val="20"/>
              </w:rPr>
              <w:t>(Anaes.) (Assist.)</w:t>
            </w:r>
          </w:p>
        </w:tc>
      </w:tr>
      <w:tr w:rsidR="00FD7D5C" w14:paraId="21DBD6E1" w14:textId="77777777" w:rsidTr="46B95BBF">
        <w:trPr>
          <w:cantSplit/>
          <w:tblHeader/>
        </w:trPr>
        <w:tc>
          <w:tcPr>
            <w:tcW w:w="5000" w:type="pct"/>
            <w:tcBorders>
              <w:top w:val="single" w:sz="4" w:space="0" w:color="auto"/>
              <w:left w:val="single" w:sz="4" w:space="0" w:color="auto"/>
              <w:bottom w:val="single" w:sz="4" w:space="0" w:color="auto"/>
              <w:right w:val="single" w:sz="4" w:space="0" w:color="auto"/>
            </w:tcBorders>
            <w:vAlign w:val="center"/>
          </w:tcPr>
          <w:p w14:paraId="5B3881E3" w14:textId="3A3FDEEF" w:rsidR="0013515D" w:rsidRPr="00DE762F" w:rsidRDefault="007046DE" w:rsidP="00BD6E6C">
            <w:pPr>
              <w:spacing w:before="40" w:after="40" w:line="240" w:lineRule="auto"/>
              <w:rPr>
                <w:rFonts w:ascii="Arial Narrow" w:hAnsi="Arial Narrow"/>
                <w:sz w:val="20"/>
                <w:szCs w:val="20"/>
              </w:rPr>
            </w:pPr>
            <w:r>
              <w:rPr>
                <w:rFonts w:ascii="Arial Narrow" w:hAnsi="Arial Narrow"/>
                <w:sz w:val="20"/>
                <w:szCs w:val="20"/>
              </w:rPr>
              <w:t xml:space="preserve">Proposed </w:t>
            </w:r>
            <w:r w:rsidRPr="00DE762F">
              <w:rPr>
                <w:rFonts w:ascii="Arial Narrow" w:hAnsi="Arial Narrow"/>
                <w:sz w:val="20"/>
                <w:szCs w:val="20"/>
              </w:rPr>
              <w:t xml:space="preserve">Fee: </w:t>
            </w:r>
            <w:r>
              <w:rPr>
                <w:rFonts w:ascii="Arial Narrow" w:hAnsi="Arial Narrow"/>
                <w:sz w:val="20"/>
                <w:szCs w:val="20"/>
              </w:rPr>
              <w:t>$</w:t>
            </w:r>
            <w:r w:rsidR="006004BA">
              <w:rPr>
                <w:rFonts w:ascii="Arial Narrow" w:hAnsi="Arial Narrow"/>
                <w:sz w:val="20"/>
                <w:szCs w:val="20"/>
              </w:rPr>
              <w:t>853.70</w:t>
            </w:r>
            <w:r>
              <w:tab/>
            </w:r>
            <w:r>
              <w:rPr>
                <w:rFonts w:ascii="Arial Narrow" w:hAnsi="Arial Narrow"/>
                <w:sz w:val="20"/>
                <w:szCs w:val="20"/>
              </w:rPr>
              <w:t xml:space="preserve">Benefit: 75% = </w:t>
            </w:r>
            <w:r w:rsidRPr="005E77BB">
              <w:rPr>
                <w:rFonts w:ascii="Arial Narrow" w:hAnsi="Arial Narrow"/>
                <w:sz w:val="20"/>
                <w:szCs w:val="20"/>
              </w:rPr>
              <w:t>$</w:t>
            </w:r>
            <w:r w:rsidR="006004BA">
              <w:rPr>
                <w:rFonts w:ascii="Arial Narrow" w:hAnsi="Arial Narrow"/>
                <w:sz w:val="20"/>
                <w:szCs w:val="20"/>
              </w:rPr>
              <w:t>640.30</w:t>
            </w:r>
          </w:p>
        </w:tc>
      </w:tr>
    </w:tbl>
    <w:p w14:paraId="09CF416B" w14:textId="6BCFA68B" w:rsidR="0013515D" w:rsidRPr="000544B7" w:rsidRDefault="007046DE" w:rsidP="001E4347">
      <w:pPr>
        <w:pStyle w:val="Tablenotes"/>
        <w:spacing w:after="240"/>
      </w:pPr>
      <w:r w:rsidRPr="000544B7">
        <w:t>Note:</w:t>
      </w:r>
      <w:r w:rsidRPr="00154A13">
        <w:rPr>
          <w:rStyle w:val="Hyperlink"/>
          <w:rFonts w:ascii="Arial Narrow" w:eastAsiaTheme="majorEastAsia" w:hAnsi="Arial Narrow" w:cs="Arial"/>
          <w:color w:val="auto"/>
          <w:u w:val="none"/>
        </w:rPr>
        <w:t xml:space="preserve"> </w:t>
      </w:r>
      <w:r w:rsidRPr="00154A13">
        <w:rPr>
          <w:rStyle w:val="cf01"/>
          <w:rFonts w:ascii="Arial Narrow" w:eastAsiaTheme="majorEastAsia" w:hAnsi="Arial Narrow" w:cs="Arial"/>
          <w:szCs w:val="20"/>
        </w:rPr>
        <w:t xml:space="preserve">text </w:t>
      </w:r>
      <w:r w:rsidR="000D6766">
        <w:rPr>
          <w:rStyle w:val="cf01"/>
          <w:rFonts w:ascii="Arial Narrow" w:eastAsiaTheme="majorEastAsia" w:hAnsi="Arial Narrow" w:cs="Arial"/>
          <w:szCs w:val="20"/>
        </w:rPr>
        <w:t>is</w:t>
      </w:r>
      <w:r w:rsidRPr="00154A13">
        <w:rPr>
          <w:rStyle w:val="cf01"/>
          <w:rFonts w:ascii="Arial Narrow" w:eastAsiaTheme="majorEastAsia" w:hAnsi="Arial Narrow" w:cs="Arial"/>
          <w:szCs w:val="20"/>
        </w:rPr>
        <w:t xml:space="preserve"> applicant’s proposed MBS item,</w:t>
      </w:r>
      <w:r w:rsidR="00E10641">
        <w:rPr>
          <w:rStyle w:val="cf01"/>
          <w:rFonts w:ascii="Arial Narrow" w:eastAsiaTheme="majorEastAsia" w:hAnsi="Arial Narrow" w:cs="Arial"/>
          <w:szCs w:val="20"/>
        </w:rPr>
        <w:t xml:space="preserve"> Italics and</w:t>
      </w:r>
      <w:r w:rsidRPr="00154A13">
        <w:rPr>
          <w:rStyle w:val="cf01"/>
          <w:rFonts w:ascii="Arial Narrow" w:eastAsiaTheme="majorEastAsia" w:hAnsi="Arial Narrow" w:cs="Arial"/>
          <w:szCs w:val="20"/>
        </w:rPr>
        <w:t xml:space="preserve"> </w:t>
      </w:r>
      <w:r w:rsidR="000D2362">
        <w:rPr>
          <w:rStyle w:val="cf01"/>
          <w:rFonts w:ascii="Arial Narrow" w:eastAsiaTheme="majorEastAsia" w:hAnsi="Arial Narrow" w:cs="Arial"/>
          <w:szCs w:val="20"/>
        </w:rPr>
        <w:t xml:space="preserve">strikethrough </w:t>
      </w:r>
      <w:r w:rsidRPr="00154A13">
        <w:rPr>
          <w:rStyle w:val="cf01"/>
          <w:rFonts w:ascii="Arial Narrow" w:eastAsiaTheme="majorEastAsia" w:hAnsi="Arial Narrow" w:cs="Arial"/>
          <w:szCs w:val="20"/>
        </w:rPr>
        <w:t>indicates</w:t>
      </w:r>
      <w:r w:rsidR="000D2362">
        <w:rPr>
          <w:rStyle w:val="cf01"/>
          <w:rFonts w:ascii="Arial Narrow" w:eastAsiaTheme="majorEastAsia" w:hAnsi="Arial Narrow" w:cs="Arial"/>
          <w:szCs w:val="20"/>
        </w:rPr>
        <w:t xml:space="preserve"> suggested edits by the</w:t>
      </w:r>
      <w:r w:rsidRPr="00154A13">
        <w:rPr>
          <w:rStyle w:val="cf01"/>
          <w:rFonts w:ascii="Arial Narrow" w:eastAsiaTheme="majorEastAsia" w:hAnsi="Arial Narrow" w:cs="Arial"/>
          <w:szCs w:val="20"/>
        </w:rPr>
        <w:t xml:space="preserve"> assessment group.</w:t>
      </w:r>
    </w:p>
    <w:p w14:paraId="27334273" w14:textId="382F5213" w:rsidR="007D6332" w:rsidRDefault="007046DE" w:rsidP="007D6332">
      <w:pPr>
        <w:pStyle w:val="Caption"/>
      </w:pPr>
      <w:bookmarkStart w:id="17" w:name="_Ref160828255"/>
      <w:r>
        <w:t xml:space="preserve">Table </w:t>
      </w:r>
      <w:r>
        <w:fldChar w:fldCharType="begin"/>
      </w:r>
      <w:r>
        <w:instrText xml:space="preserve"> SEQ Table \* ARABIC </w:instrText>
      </w:r>
      <w:r>
        <w:fldChar w:fldCharType="separate"/>
      </w:r>
      <w:r w:rsidR="00E602A3">
        <w:rPr>
          <w:noProof/>
        </w:rPr>
        <w:t>10</w:t>
      </w:r>
      <w:r>
        <w:fldChar w:fldCharType="end"/>
      </w:r>
      <w:bookmarkEnd w:id="17"/>
      <w:r>
        <w:tab/>
        <w:t>MBS items to support fees for proposed service for chondrocyte harvesting</w:t>
      </w:r>
    </w:p>
    <w:tbl>
      <w:tblPr>
        <w:tblStyle w:val="TableGrid"/>
        <w:tblW w:w="0" w:type="auto"/>
        <w:tblLook w:val="04A0" w:firstRow="1" w:lastRow="0" w:firstColumn="1" w:lastColumn="0" w:noHBand="0" w:noVBand="1"/>
        <w:tblCaption w:val="Table 8 MBS items to support fees for proposed service for chondrocyte harvesting"/>
        <w:tblDescription w:val="A table listing the MBS item proposed by applicant to support fees for proposed service for chondrocyte harvesting."/>
      </w:tblPr>
      <w:tblGrid>
        <w:gridCol w:w="982"/>
        <w:gridCol w:w="6384"/>
        <w:gridCol w:w="2205"/>
      </w:tblGrid>
      <w:tr w:rsidR="00FD7D5C" w14:paraId="30ECBD4A" w14:textId="77777777" w:rsidTr="00B2111F">
        <w:tc>
          <w:tcPr>
            <w:tcW w:w="982" w:type="dxa"/>
            <w:tcBorders>
              <w:bottom w:val="single" w:sz="4" w:space="0" w:color="auto"/>
            </w:tcBorders>
          </w:tcPr>
          <w:p w14:paraId="748902BA" w14:textId="77777777" w:rsidR="007D6332" w:rsidRDefault="007046DE" w:rsidP="00B2111F">
            <w:pPr>
              <w:pStyle w:val="TableHeading"/>
            </w:pPr>
            <w:r>
              <w:t>MBS item</w:t>
            </w:r>
          </w:p>
        </w:tc>
        <w:tc>
          <w:tcPr>
            <w:tcW w:w="6384" w:type="dxa"/>
            <w:tcBorders>
              <w:bottom w:val="single" w:sz="4" w:space="0" w:color="auto"/>
            </w:tcBorders>
          </w:tcPr>
          <w:p w14:paraId="473A8850" w14:textId="77777777" w:rsidR="007D6332" w:rsidRDefault="007046DE" w:rsidP="00B2111F">
            <w:pPr>
              <w:pStyle w:val="TableHeading"/>
            </w:pPr>
            <w:r>
              <w:t>Descriptor</w:t>
            </w:r>
          </w:p>
        </w:tc>
        <w:tc>
          <w:tcPr>
            <w:tcW w:w="2205" w:type="dxa"/>
            <w:tcBorders>
              <w:bottom w:val="single" w:sz="4" w:space="0" w:color="auto"/>
            </w:tcBorders>
          </w:tcPr>
          <w:p w14:paraId="2B8C50E3" w14:textId="77777777" w:rsidR="007D6332" w:rsidRDefault="007046DE" w:rsidP="00B2111F">
            <w:pPr>
              <w:pStyle w:val="TableHeading"/>
            </w:pPr>
            <w:r>
              <w:t>Benefit</w:t>
            </w:r>
          </w:p>
        </w:tc>
      </w:tr>
      <w:tr w:rsidR="00FD7D5C" w14:paraId="299AAF2A" w14:textId="77777777" w:rsidTr="005E2D5F">
        <w:tc>
          <w:tcPr>
            <w:tcW w:w="982" w:type="dxa"/>
            <w:tcBorders>
              <w:right w:val="nil"/>
            </w:tcBorders>
            <w:shd w:val="clear" w:color="auto" w:fill="auto"/>
          </w:tcPr>
          <w:p w14:paraId="64BEC101" w14:textId="77777777" w:rsidR="007D6332" w:rsidRPr="00CB02A7" w:rsidRDefault="007D6332" w:rsidP="00B2111F">
            <w:pPr>
              <w:pStyle w:val="TableText0"/>
              <w:keepNext/>
              <w:rPr>
                <w:b/>
                <w:bCs/>
              </w:rPr>
            </w:pPr>
          </w:p>
        </w:tc>
        <w:tc>
          <w:tcPr>
            <w:tcW w:w="6384" w:type="dxa"/>
            <w:tcBorders>
              <w:left w:val="nil"/>
              <w:right w:val="nil"/>
            </w:tcBorders>
            <w:shd w:val="clear" w:color="auto" w:fill="auto"/>
          </w:tcPr>
          <w:p w14:paraId="04FF1EC8" w14:textId="77777777" w:rsidR="007D6332" w:rsidRPr="00CB02A7" w:rsidRDefault="007046DE" w:rsidP="00B2111F">
            <w:pPr>
              <w:pStyle w:val="TableText0"/>
              <w:keepNext/>
              <w:rPr>
                <w:b/>
                <w:bCs/>
              </w:rPr>
            </w:pPr>
            <w:r>
              <w:rPr>
                <w:b/>
                <w:bCs/>
              </w:rPr>
              <w:t>MBS item proposed by applicant to support fee</w:t>
            </w:r>
          </w:p>
        </w:tc>
        <w:tc>
          <w:tcPr>
            <w:tcW w:w="2205" w:type="dxa"/>
            <w:tcBorders>
              <w:left w:val="nil"/>
            </w:tcBorders>
            <w:shd w:val="clear" w:color="auto" w:fill="auto"/>
          </w:tcPr>
          <w:p w14:paraId="4A4C82D9" w14:textId="77777777" w:rsidR="007D6332" w:rsidRPr="00CB02A7" w:rsidRDefault="007D6332" w:rsidP="00B2111F">
            <w:pPr>
              <w:pStyle w:val="TableText0"/>
              <w:keepNext/>
              <w:jc w:val="right"/>
              <w:rPr>
                <w:b/>
                <w:bCs/>
              </w:rPr>
            </w:pPr>
          </w:p>
        </w:tc>
      </w:tr>
      <w:tr w:rsidR="00FD7D5C" w14:paraId="5D39395B" w14:textId="77777777" w:rsidTr="00B2111F">
        <w:tc>
          <w:tcPr>
            <w:tcW w:w="982" w:type="dxa"/>
          </w:tcPr>
          <w:p w14:paraId="051801E1" w14:textId="77777777" w:rsidR="007D6332" w:rsidRDefault="007046DE" w:rsidP="00B2111F">
            <w:pPr>
              <w:pStyle w:val="TableText0"/>
              <w:keepNext/>
            </w:pPr>
            <w:r w:rsidRPr="00F05D94">
              <w:t>49584</w:t>
            </w:r>
          </w:p>
        </w:tc>
        <w:tc>
          <w:tcPr>
            <w:tcW w:w="6384" w:type="dxa"/>
          </w:tcPr>
          <w:p w14:paraId="050CBCFB" w14:textId="77777777" w:rsidR="007D6332" w:rsidRDefault="007046DE" w:rsidP="00B2111F">
            <w:pPr>
              <w:pStyle w:val="TableText0"/>
              <w:keepNext/>
            </w:pPr>
            <w:r>
              <w:t>Chondral, osteochondral or meniscal graft of knee, by arthroscopic means (H)</w:t>
            </w:r>
          </w:p>
          <w:p w14:paraId="54BA8B0D" w14:textId="77777777" w:rsidR="007D6332" w:rsidRDefault="007046DE" w:rsidP="00B2111F">
            <w:pPr>
              <w:pStyle w:val="TableText0"/>
              <w:keepNext/>
            </w:pPr>
            <w:r>
              <w:t>Multiple Operation Rule</w:t>
            </w:r>
          </w:p>
          <w:p w14:paraId="13754F76" w14:textId="77777777" w:rsidR="007D6332" w:rsidRDefault="007046DE" w:rsidP="00B2111F">
            <w:pPr>
              <w:pStyle w:val="TableText0"/>
              <w:keepNext/>
            </w:pPr>
            <w:r>
              <w:t>(Anaes.) (Assist.)</w:t>
            </w:r>
          </w:p>
        </w:tc>
        <w:tc>
          <w:tcPr>
            <w:tcW w:w="2205" w:type="dxa"/>
          </w:tcPr>
          <w:p w14:paraId="16761E43" w14:textId="77777777" w:rsidR="007D6332" w:rsidRDefault="007046DE" w:rsidP="00B2111F">
            <w:pPr>
              <w:pStyle w:val="TableText0"/>
              <w:keepNext/>
              <w:rPr>
                <w:szCs w:val="20"/>
              </w:rPr>
            </w:pPr>
            <w:r w:rsidRPr="00DE762F">
              <w:rPr>
                <w:szCs w:val="20"/>
              </w:rPr>
              <w:t xml:space="preserve">Fee: </w:t>
            </w:r>
            <w:r>
              <w:rPr>
                <w:szCs w:val="20"/>
              </w:rPr>
              <w:t>$853.70</w:t>
            </w:r>
          </w:p>
          <w:p w14:paraId="4C73B340" w14:textId="77777777" w:rsidR="007D6332" w:rsidRDefault="007046DE" w:rsidP="00B2111F">
            <w:pPr>
              <w:pStyle w:val="TableText0"/>
              <w:keepNext/>
            </w:pPr>
            <w:r>
              <w:rPr>
                <w:szCs w:val="20"/>
              </w:rPr>
              <w:t>Benefit: 75% = $640.30</w:t>
            </w:r>
          </w:p>
        </w:tc>
      </w:tr>
      <w:tr w:rsidR="00FD7D5C" w14:paraId="6E1262F4" w14:textId="77777777" w:rsidTr="005E2D5F">
        <w:tc>
          <w:tcPr>
            <w:tcW w:w="982" w:type="dxa"/>
            <w:tcBorders>
              <w:right w:val="nil"/>
            </w:tcBorders>
            <w:shd w:val="clear" w:color="auto" w:fill="auto"/>
          </w:tcPr>
          <w:p w14:paraId="4729AE73" w14:textId="77777777" w:rsidR="007D6332" w:rsidRPr="00CB02A7" w:rsidRDefault="007D6332" w:rsidP="00B2111F">
            <w:pPr>
              <w:pStyle w:val="TableText0"/>
              <w:keepNext/>
              <w:rPr>
                <w:b/>
                <w:bCs/>
              </w:rPr>
            </w:pPr>
          </w:p>
        </w:tc>
        <w:tc>
          <w:tcPr>
            <w:tcW w:w="6384" w:type="dxa"/>
            <w:tcBorders>
              <w:left w:val="nil"/>
              <w:right w:val="nil"/>
            </w:tcBorders>
            <w:shd w:val="clear" w:color="auto" w:fill="auto"/>
          </w:tcPr>
          <w:p w14:paraId="25164074" w14:textId="77777777" w:rsidR="007D6332" w:rsidRPr="00CB02A7" w:rsidRDefault="007046DE" w:rsidP="00B2111F">
            <w:pPr>
              <w:pStyle w:val="TableText0"/>
              <w:keepNext/>
              <w:rPr>
                <w:b/>
                <w:bCs/>
              </w:rPr>
            </w:pPr>
            <w:r>
              <w:rPr>
                <w:b/>
                <w:bCs/>
              </w:rPr>
              <w:t>Alternative MBS item to support fee</w:t>
            </w:r>
          </w:p>
        </w:tc>
        <w:tc>
          <w:tcPr>
            <w:tcW w:w="2205" w:type="dxa"/>
            <w:tcBorders>
              <w:left w:val="nil"/>
            </w:tcBorders>
            <w:shd w:val="clear" w:color="auto" w:fill="auto"/>
          </w:tcPr>
          <w:p w14:paraId="61B37157" w14:textId="77777777" w:rsidR="007D6332" w:rsidRPr="00CB02A7" w:rsidRDefault="007D6332" w:rsidP="00B2111F">
            <w:pPr>
              <w:pStyle w:val="TableText0"/>
              <w:keepNext/>
              <w:jc w:val="right"/>
              <w:rPr>
                <w:b/>
                <w:bCs/>
              </w:rPr>
            </w:pPr>
          </w:p>
        </w:tc>
      </w:tr>
      <w:tr w:rsidR="00FD7D5C" w14:paraId="3A12B920" w14:textId="77777777" w:rsidTr="00B2111F">
        <w:tc>
          <w:tcPr>
            <w:tcW w:w="982" w:type="dxa"/>
          </w:tcPr>
          <w:p w14:paraId="4A7F7779" w14:textId="77777777" w:rsidR="007D6332" w:rsidRDefault="007046DE" w:rsidP="00B2111F">
            <w:pPr>
              <w:pStyle w:val="TableText0"/>
              <w:keepNext/>
            </w:pPr>
            <w:r w:rsidRPr="00CC4EDD">
              <w:t>49570</w:t>
            </w:r>
          </w:p>
        </w:tc>
        <w:tc>
          <w:tcPr>
            <w:tcW w:w="6384" w:type="dxa"/>
          </w:tcPr>
          <w:p w14:paraId="171742B6" w14:textId="77777777" w:rsidR="007D6332" w:rsidRDefault="007046DE" w:rsidP="00B2111F">
            <w:pPr>
              <w:pStyle w:val="TableText0"/>
              <w:keepNext/>
            </w:pPr>
            <w:r>
              <w:t>Diagnosis of knee, by arthroscopic means, when the pre-procedure diagnosis is undetermined, including either or both of the following (if performed):</w:t>
            </w:r>
          </w:p>
          <w:p w14:paraId="72670D37" w14:textId="77777777" w:rsidR="007D6332" w:rsidRDefault="007046DE" w:rsidP="00B2111F">
            <w:pPr>
              <w:pStyle w:val="TableText0"/>
              <w:keepNext/>
            </w:pPr>
            <w:r>
              <w:t>(a) biopsy;</w:t>
            </w:r>
          </w:p>
          <w:p w14:paraId="7672F3A8" w14:textId="77777777" w:rsidR="007D6332" w:rsidRDefault="007046DE" w:rsidP="00B2111F">
            <w:pPr>
              <w:pStyle w:val="TableText0"/>
              <w:keepNext/>
            </w:pPr>
            <w:r>
              <w:t>(b) lavage</w:t>
            </w:r>
          </w:p>
          <w:p w14:paraId="32FA7DD3" w14:textId="77777777" w:rsidR="007D6332" w:rsidRDefault="007046DE" w:rsidP="00B2111F">
            <w:pPr>
              <w:pStyle w:val="TableText0"/>
              <w:keepNext/>
            </w:pPr>
            <w:r>
              <w:t>(H)</w:t>
            </w:r>
          </w:p>
          <w:p w14:paraId="4EB9E2FD" w14:textId="77777777" w:rsidR="007D6332" w:rsidRDefault="007046DE" w:rsidP="00B2111F">
            <w:pPr>
              <w:pStyle w:val="TableText0"/>
              <w:keepNext/>
            </w:pPr>
            <w:r>
              <w:t>Multiple Operation Rule</w:t>
            </w:r>
          </w:p>
          <w:p w14:paraId="4C45EDDC" w14:textId="77777777" w:rsidR="007D6332" w:rsidRDefault="007046DE" w:rsidP="00B2111F">
            <w:pPr>
              <w:pStyle w:val="TableText0"/>
              <w:keepNext/>
            </w:pPr>
            <w:r>
              <w:t>(Anaes.) (Assist.)</w:t>
            </w:r>
          </w:p>
        </w:tc>
        <w:tc>
          <w:tcPr>
            <w:tcW w:w="2205" w:type="dxa"/>
          </w:tcPr>
          <w:p w14:paraId="31C2E49E" w14:textId="77777777" w:rsidR="007D6332" w:rsidRDefault="007046DE" w:rsidP="00B2111F">
            <w:pPr>
              <w:pStyle w:val="TableText0"/>
              <w:keepNext/>
              <w:rPr>
                <w:szCs w:val="20"/>
              </w:rPr>
            </w:pPr>
            <w:r w:rsidRPr="00DE762F">
              <w:rPr>
                <w:szCs w:val="20"/>
              </w:rPr>
              <w:t xml:space="preserve">Fee: </w:t>
            </w:r>
            <w:r>
              <w:rPr>
                <w:szCs w:val="20"/>
              </w:rPr>
              <w:t>$300.45</w:t>
            </w:r>
          </w:p>
          <w:p w14:paraId="1CC9571E" w14:textId="77777777" w:rsidR="007D6332" w:rsidRDefault="007046DE" w:rsidP="00B2111F">
            <w:pPr>
              <w:pStyle w:val="TableText0"/>
              <w:keepNext/>
            </w:pPr>
            <w:r>
              <w:rPr>
                <w:szCs w:val="20"/>
              </w:rPr>
              <w:t>Benefit: 75% = $225.35</w:t>
            </w:r>
          </w:p>
        </w:tc>
      </w:tr>
    </w:tbl>
    <w:p w14:paraId="05B21F84" w14:textId="595151AA" w:rsidR="007D6332" w:rsidRDefault="007046DE" w:rsidP="001E4347">
      <w:pPr>
        <w:pStyle w:val="Tablenotes"/>
        <w:spacing w:after="240"/>
      </w:pPr>
      <w:r>
        <w:t>Source:</w:t>
      </w:r>
      <w:r w:rsidR="00DD3485">
        <w:t xml:space="preserve"> MBS online</w:t>
      </w:r>
      <w:r w:rsidR="00F646A6">
        <w:t>, Department of Health and Aged Care,</w:t>
      </w:r>
      <w:r w:rsidR="00DA35AA">
        <w:t xml:space="preserve"> accessed March 2024 </w:t>
      </w:r>
      <w:r w:rsidR="00DA35AA" w:rsidRPr="00D4033C">
        <w:rPr>
          <w:color w:val="000000" w:themeColor="text1"/>
        </w:rPr>
        <w:t xml:space="preserve">at </w:t>
      </w:r>
      <w:hyperlink r:id="rId21" w:tooltip="Link to search page for MBS online." w:history="1">
        <w:r w:rsidR="00DA35AA" w:rsidRPr="00D4033C">
          <w:rPr>
            <w:rStyle w:val="Hyperlink"/>
            <w:rFonts w:ascii="Arial Narrow" w:hAnsi="Arial Narrow" w:cs="Arial"/>
            <w:color w:val="000000" w:themeColor="text1"/>
          </w:rPr>
          <w:t>https://www9.health.gov.au/mbs/search.cfm</w:t>
        </w:r>
      </w:hyperlink>
    </w:p>
    <w:p w14:paraId="7C12E087" w14:textId="3F584832" w:rsidR="00EA215D" w:rsidRDefault="007046DE" w:rsidP="00154A13">
      <w:pPr>
        <w:pStyle w:val="Heading3"/>
      </w:pPr>
      <w:r>
        <w:t xml:space="preserve">Proposed MBS item and fee for </w:t>
      </w:r>
      <w:r w:rsidR="00BD1416">
        <w:t>i</w:t>
      </w:r>
      <w:r>
        <w:t xml:space="preserve">mplantation </w:t>
      </w:r>
      <w:r w:rsidR="001F6CA4">
        <w:t>procedure</w:t>
      </w:r>
    </w:p>
    <w:p w14:paraId="55DB390E" w14:textId="7255AFB4" w:rsidR="00837CE1" w:rsidRDefault="007046DE" w:rsidP="00EA215D">
      <w:r>
        <w:t xml:space="preserve">The second procedure – implantation of the cultured chondrocytes – </w:t>
      </w:r>
      <w:r w:rsidR="00F20F27">
        <w:t>is most often</w:t>
      </w:r>
      <w:r>
        <w:t xml:space="preserve"> performed with mini-arthrotomy</w:t>
      </w:r>
      <w:r w:rsidR="006D3B7D">
        <w:t xml:space="preserve"> in Australia</w:t>
      </w:r>
      <w:r>
        <w:t>,</w:t>
      </w:r>
      <w:r>
        <w:rPr>
          <w:rStyle w:val="FootnoteReference"/>
        </w:rPr>
        <w:footnoteReference w:id="16"/>
      </w:r>
      <w:r>
        <w:t xml:space="preserve"> </w:t>
      </w:r>
      <w:r w:rsidR="00F20F27">
        <w:t>and</w:t>
      </w:r>
      <w:r>
        <w:t xml:space="preserve"> is the technique used in the SUMMIT RCT. </w:t>
      </w:r>
    </w:p>
    <w:p w14:paraId="5783CBC5" w14:textId="64C5F88B" w:rsidR="00F17073" w:rsidRDefault="007046DE" w:rsidP="0037558E">
      <w:r>
        <w:lastRenderedPageBreak/>
        <w:t>The applicant proposed a</w:t>
      </w:r>
      <w:r w:rsidR="00860F91">
        <w:t xml:space="preserve"> single</w:t>
      </w:r>
      <w:r>
        <w:t xml:space="preserve"> item descriptor</w:t>
      </w:r>
      <w:r w:rsidR="00EC5025">
        <w:t xml:space="preserve"> for the implantation procedure</w:t>
      </w:r>
      <w:r w:rsidR="00C47B82">
        <w:t xml:space="preserve"> by arthrotomy</w:t>
      </w:r>
      <w:r>
        <w:t>; this has been modified in the proposed new MBS item (</w:t>
      </w:r>
      <w:r>
        <w:fldChar w:fldCharType="begin"/>
      </w:r>
      <w:r>
        <w:instrText xml:space="preserve"> REF _Ref160832687 \h </w:instrText>
      </w:r>
      <w:r>
        <w:fldChar w:fldCharType="separate"/>
      </w:r>
      <w:r w:rsidR="00E602A3">
        <w:t xml:space="preserve">Table </w:t>
      </w:r>
      <w:r w:rsidR="00E602A3">
        <w:rPr>
          <w:noProof/>
        </w:rPr>
        <w:t>11</w:t>
      </w:r>
      <w:r>
        <w:fldChar w:fldCharType="end"/>
      </w:r>
      <w:r>
        <w:t xml:space="preserve">) to match the population developed for this PICO </w:t>
      </w:r>
      <w:r w:rsidR="00CF1C48">
        <w:t>c</w:t>
      </w:r>
      <w:r>
        <w:t>onfirmation</w:t>
      </w:r>
      <w:r w:rsidR="20AE90DF">
        <w:t xml:space="preserve"> and allow a choice of surgical approach</w:t>
      </w:r>
      <w:r>
        <w:t>.</w:t>
      </w:r>
      <w:r w:rsidR="00CB14C2">
        <w:t xml:space="preserve"> </w:t>
      </w:r>
    </w:p>
    <w:p w14:paraId="5E22C711" w14:textId="64A8D103" w:rsidR="00DA5755" w:rsidRDefault="007046DE" w:rsidP="0037558E">
      <w:r>
        <w:t>The applicant proposed the fee for MBS item 49503 (arthrotomy of knee</w:t>
      </w:r>
      <w:r w:rsidRPr="00482FD4">
        <w:t xml:space="preserve"> </w:t>
      </w:r>
      <w:r>
        <w:t xml:space="preserve">for </w:t>
      </w:r>
      <w:r w:rsidRPr="00482FD4">
        <w:t>repair or replacement of chondral or osteochondral surface</w:t>
      </w:r>
      <w:r>
        <w:t>; f</w:t>
      </w:r>
      <w:r w:rsidRPr="00BF3F4B">
        <w:t>ee: $</w:t>
      </w:r>
      <w:r>
        <w:rPr>
          <w:szCs w:val="20"/>
        </w:rPr>
        <w:t>538.90</w:t>
      </w:r>
      <w:r>
        <w:t>) would be appropriate for the proposed chondrocyte implantation procedure (</w:t>
      </w:r>
      <w:r w:rsidR="00F24BEB">
        <w:fldChar w:fldCharType="begin"/>
      </w:r>
      <w:r w:rsidR="00F24BEB">
        <w:instrText xml:space="preserve"> REF _Ref160832687 \h </w:instrText>
      </w:r>
      <w:r w:rsidR="00F24BEB">
        <w:fldChar w:fldCharType="separate"/>
      </w:r>
      <w:r w:rsidR="00E602A3">
        <w:t xml:space="preserve">Table </w:t>
      </w:r>
      <w:r w:rsidR="00E602A3">
        <w:rPr>
          <w:noProof/>
        </w:rPr>
        <w:t>11</w:t>
      </w:r>
      <w:r w:rsidR="00F24BEB">
        <w:fldChar w:fldCharType="end"/>
      </w:r>
      <w:r>
        <w:t>). This appears to be a reasonable basis for the proposed fee. However, t</w:t>
      </w:r>
      <w:r w:rsidRPr="00075583">
        <w:t xml:space="preserve">he </w:t>
      </w:r>
      <w:r w:rsidR="00F86723">
        <w:t xml:space="preserve">proposed </w:t>
      </w:r>
      <w:r w:rsidRPr="00075583">
        <w:t>fee</w:t>
      </w:r>
      <w:r>
        <w:t xml:space="preserve">s </w:t>
      </w:r>
      <w:r w:rsidR="00F86723">
        <w:t xml:space="preserve">for the </w:t>
      </w:r>
      <w:r w:rsidR="00A36C6A">
        <w:t xml:space="preserve">implantation </w:t>
      </w:r>
      <w:r w:rsidR="00F86723">
        <w:t>service</w:t>
      </w:r>
      <w:r w:rsidR="000D7BA3">
        <w:t xml:space="preserve"> </w:t>
      </w:r>
      <w:r w:rsidRPr="00075583">
        <w:t xml:space="preserve">would need to be justified in the assessment report in terms of </w:t>
      </w:r>
      <w:r>
        <w:t xml:space="preserve">the length of </w:t>
      </w:r>
      <w:r w:rsidRPr="00075583">
        <w:t>time and complexity</w:t>
      </w:r>
      <w:r>
        <w:t xml:space="preserve"> of the procedure</w:t>
      </w:r>
      <w:r w:rsidR="00E05C99">
        <w:t>s</w:t>
      </w:r>
      <w:r>
        <w:t>.</w:t>
      </w:r>
    </w:p>
    <w:p w14:paraId="2933B13B" w14:textId="730D62F9" w:rsidR="001E3C91" w:rsidRDefault="007046DE" w:rsidP="001E3C91">
      <w:pPr>
        <w:pStyle w:val="Caption"/>
      </w:pPr>
      <w:bookmarkStart w:id="18" w:name="_Ref160832687"/>
      <w:r>
        <w:t xml:space="preserve">Table </w:t>
      </w:r>
      <w:r>
        <w:fldChar w:fldCharType="begin"/>
      </w:r>
      <w:r>
        <w:instrText xml:space="preserve"> SEQ Table \* ARABIC </w:instrText>
      </w:r>
      <w:r>
        <w:fldChar w:fldCharType="separate"/>
      </w:r>
      <w:r w:rsidR="00E602A3">
        <w:rPr>
          <w:noProof/>
        </w:rPr>
        <w:t>11</w:t>
      </w:r>
      <w:r>
        <w:fldChar w:fldCharType="end"/>
      </w:r>
      <w:bookmarkEnd w:id="18"/>
      <w:r>
        <w:tab/>
        <w:t>Proposed MBS item descriptor and fee for</w:t>
      </w:r>
      <w:r w:rsidR="00C36FAD">
        <w:t xml:space="preserve"> the chondrocyte</w:t>
      </w:r>
      <w:r>
        <w:t xml:space="preserve"> implantation procedure</w:t>
      </w:r>
    </w:p>
    <w:tbl>
      <w:tblPr>
        <w:tblStyle w:val="TableGrid"/>
        <w:tblW w:w="5000" w:type="pct"/>
        <w:tblLook w:val="04A0" w:firstRow="1" w:lastRow="0" w:firstColumn="1" w:lastColumn="0" w:noHBand="0" w:noVBand="1"/>
        <w:tblCaption w:val="Table 11 Proposed MBS item descriptor and fee for the chondrocyte implantation procedure by arthrotomy"/>
        <w:tblDescription w:val="This table presents the proposed MBS item descriptor and fee for implantation procedure by arthrotomy."/>
      </w:tblPr>
      <w:tblGrid>
        <w:gridCol w:w="9571"/>
      </w:tblGrid>
      <w:tr w:rsidR="00FD7D5C" w14:paraId="1E3AD516" w14:textId="77777777" w:rsidTr="00070EDF">
        <w:trPr>
          <w:cantSplit/>
          <w:tblHeader/>
        </w:trPr>
        <w:tc>
          <w:tcPr>
            <w:tcW w:w="5000" w:type="pct"/>
            <w:tcBorders>
              <w:top w:val="single" w:sz="4" w:space="0" w:color="auto"/>
              <w:left w:val="single" w:sz="4" w:space="0" w:color="auto"/>
              <w:bottom w:val="single" w:sz="4" w:space="0" w:color="auto"/>
              <w:right w:val="single" w:sz="4" w:space="0" w:color="auto"/>
            </w:tcBorders>
            <w:hideMark/>
          </w:tcPr>
          <w:p w14:paraId="1B536128" w14:textId="77777777" w:rsidR="00A36E5C" w:rsidRPr="00CD281D" w:rsidRDefault="007046DE" w:rsidP="00140205">
            <w:pPr>
              <w:spacing w:before="40" w:after="40" w:line="240" w:lineRule="auto"/>
              <w:rPr>
                <w:rFonts w:ascii="Arial Narrow" w:hAnsi="Arial Narrow"/>
                <w:sz w:val="20"/>
                <w:szCs w:val="20"/>
              </w:rPr>
            </w:pPr>
            <w:r w:rsidRPr="00CD281D">
              <w:rPr>
                <w:rFonts w:ascii="Arial Narrow" w:hAnsi="Arial Narrow"/>
                <w:sz w:val="20"/>
                <w:szCs w:val="20"/>
              </w:rPr>
              <w:t>Category 3 – Therapeutic Procedures</w:t>
            </w:r>
          </w:p>
          <w:p w14:paraId="68C2E9D6" w14:textId="77777777" w:rsidR="00A36E5C" w:rsidRPr="00B437BF" w:rsidRDefault="007046DE" w:rsidP="00140205">
            <w:pPr>
              <w:spacing w:before="40" w:after="40" w:line="240" w:lineRule="auto"/>
              <w:rPr>
                <w:rFonts w:ascii="Arial Narrow" w:hAnsi="Arial Narrow"/>
                <w:sz w:val="20"/>
                <w:szCs w:val="20"/>
              </w:rPr>
            </w:pPr>
            <w:r w:rsidRPr="00B437BF">
              <w:rPr>
                <w:rFonts w:ascii="Arial Narrow" w:hAnsi="Arial Narrow"/>
                <w:sz w:val="20"/>
                <w:szCs w:val="20"/>
              </w:rPr>
              <w:t>Group T8 – Surgical Operations</w:t>
            </w:r>
          </w:p>
          <w:p w14:paraId="1891B154" w14:textId="77777777" w:rsidR="00A36E5C" w:rsidRPr="00B437BF" w:rsidRDefault="007046DE" w:rsidP="00140205">
            <w:pPr>
              <w:spacing w:before="40" w:after="40" w:line="240" w:lineRule="auto"/>
              <w:rPr>
                <w:rFonts w:ascii="Arial Narrow" w:hAnsi="Arial Narrow"/>
                <w:sz w:val="20"/>
                <w:szCs w:val="20"/>
              </w:rPr>
            </w:pPr>
            <w:r w:rsidRPr="00B437BF">
              <w:rPr>
                <w:rFonts w:ascii="Arial Narrow" w:hAnsi="Arial Narrow"/>
                <w:sz w:val="20"/>
                <w:szCs w:val="20"/>
              </w:rPr>
              <w:t>Subgroup 15 – Orthopaedic</w:t>
            </w:r>
          </w:p>
          <w:p w14:paraId="284C9D4A" w14:textId="77777777" w:rsidR="00A36E5C" w:rsidRPr="00CD281D" w:rsidRDefault="007046DE" w:rsidP="00140205">
            <w:pPr>
              <w:spacing w:before="40" w:after="40" w:line="240" w:lineRule="auto"/>
              <w:rPr>
                <w:rFonts w:ascii="Arial Narrow" w:hAnsi="Arial Narrow"/>
                <w:sz w:val="20"/>
                <w:szCs w:val="20"/>
              </w:rPr>
            </w:pPr>
            <w:r w:rsidRPr="00B437BF">
              <w:rPr>
                <w:rFonts w:ascii="Arial Narrow" w:hAnsi="Arial Narrow"/>
                <w:sz w:val="20"/>
                <w:szCs w:val="20"/>
              </w:rPr>
              <w:t>Subheading – 12 Knee</w:t>
            </w:r>
          </w:p>
        </w:tc>
      </w:tr>
      <w:tr w:rsidR="00FD7D5C" w14:paraId="045581F3" w14:textId="77777777" w:rsidTr="00070EDF">
        <w:trPr>
          <w:cantSplit/>
          <w:tblHeader/>
        </w:trPr>
        <w:tc>
          <w:tcPr>
            <w:tcW w:w="5000" w:type="pct"/>
            <w:tcBorders>
              <w:top w:val="single" w:sz="4" w:space="0" w:color="auto"/>
              <w:left w:val="single" w:sz="4" w:space="0" w:color="auto"/>
              <w:bottom w:val="single" w:sz="4" w:space="0" w:color="auto"/>
              <w:right w:val="single" w:sz="4" w:space="0" w:color="auto"/>
            </w:tcBorders>
          </w:tcPr>
          <w:p w14:paraId="72430681" w14:textId="77777777" w:rsidR="00C15938" w:rsidRPr="00B437BF" w:rsidRDefault="007046DE" w:rsidP="00C15938">
            <w:pPr>
              <w:spacing w:before="120" w:after="120" w:line="240" w:lineRule="auto"/>
              <w:rPr>
                <w:rFonts w:ascii="Arial Narrow" w:hAnsi="Arial Narrow"/>
                <w:sz w:val="20"/>
                <w:szCs w:val="20"/>
              </w:rPr>
            </w:pPr>
            <w:r w:rsidRPr="00B437BF">
              <w:rPr>
                <w:rFonts w:ascii="Arial Narrow" w:hAnsi="Arial Narrow"/>
                <w:sz w:val="20"/>
                <w:szCs w:val="20"/>
              </w:rPr>
              <w:t>MBS item YYYY</w:t>
            </w:r>
          </w:p>
          <w:p w14:paraId="697C7B16" w14:textId="21C84F58" w:rsidR="00840D2A" w:rsidRPr="00B437BF" w:rsidRDefault="007046DE" w:rsidP="00840D2A">
            <w:pPr>
              <w:spacing w:before="120" w:after="120" w:line="240" w:lineRule="auto"/>
              <w:rPr>
                <w:rFonts w:ascii="Arial Narrow" w:hAnsi="Arial Narrow"/>
                <w:i/>
                <w:iCs/>
                <w:sz w:val="20"/>
                <w:szCs w:val="20"/>
              </w:rPr>
            </w:pPr>
            <w:r w:rsidRPr="00CD281D">
              <w:rPr>
                <w:rFonts w:ascii="Arial Narrow" w:hAnsi="Arial Narrow"/>
                <w:sz w:val="20"/>
                <w:szCs w:val="20"/>
              </w:rPr>
              <w:t xml:space="preserve">Arthrotomy </w:t>
            </w:r>
            <w:r w:rsidRPr="00B437BF">
              <w:rPr>
                <w:rFonts w:ascii="Arial Narrow" w:hAnsi="Arial Narrow"/>
                <w:i/>
                <w:iCs/>
                <w:sz w:val="20"/>
                <w:szCs w:val="20"/>
              </w:rPr>
              <w:t>or arthroscopy</w:t>
            </w:r>
            <w:r w:rsidRPr="00B437BF">
              <w:rPr>
                <w:rFonts w:ascii="Arial Narrow" w:hAnsi="Arial Narrow"/>
                <w:sz w:val="20"/>
                <w:szCs w:val="20"/>
              </w:rPr>
              <w:t xml:space="preserve"> </w:t>
            </w:r>
            <w:r w:rsidRPr="00CD281D">
              <w:rPr>
                <w:rFonts w:ascii="Arial Narrow" w:hAnsi="Arial Narrow"/>
                <w:sz w:val="20"/>
                <w:szCs w:val="20"/>
              </w:rPr>
              <w:t>of knee</w:t>
            </w:r>
            <w:r w:rsidRPr="00CD281D">
              <w:rPr>
                <w:rFonts w:ascii="Arial Narrow" w:hAnsi="Arial Narrow"/>
                <w:strike/>
                <w:sz w:val="20"/>
                <w:szCs w:val="20"/>
              </w:rPr>
              <w:t>, including Implantation of autologous chondrocyte graft where patients are aged between 15-</w:t>
            </w:r>
            <w:r w:rsidRPr="00B437BF">
              <w:rPr>
                <w:rFonts w:ascii="Arial Narrow" w:hAnsi="Arial Narrow"/>
                <w:strike/>
                <w:sz w:val="20"/>
                <w:szCs w:val="20"/>
              </w:rPr>
              <w:t>55 years; - have a focal chondral defect which is ≥ 2cm²</w:t>
            </w:r>
            <w:r w:rsidRPr="00B437BF">
              <w:rPr>
                <w:rFonts w:ascii="Arial Narrow" w:hAnsi="Arial Narrow"/>
                <w:sz w:val="20"/>
                <w:szCs w:val="20"/>
              </w:rPr>
              <w:t xml:space="preserve"> </w:t>
            </w:r>
            <w:r w:rsidRPr="00B437BF">
              <w:rPr>
                <w:rFonts w:ascii="Arial Narrow" w:hAnsi="Arial Narrow"/>
                <w:i/>
                <w:iCs/>
                <w:sz w:val="20"/>
                <w:szCs w:val="20"/>
              </w:rPr>
              <w:t>for implantation of autologous cultured chondrocytes on a</w:t>
            </w:r>
            <w:r w:rsidR="00DE1E0D" w:rsidRPr="00B437BF">
              <w:rPr>
                <w:rFonts w:ascii="Arial Narrow" w:hAnsi="Arial Narrow"/>
                <w:i/>
                <w:iCs/>
                <w:sz w:val="20"/>
                <w:szCs w:val="20"/>
              </w:rPr>
              <w:t xml:space="preserve"> </w:t>
            </w:r>
            <w:r w:rsidRPr="00B437BF">
              <w:rPr>
                <w:rFonts w:ascii="Arial Narrow" w:hAnsi="Arial Narrow"/>
                <w:i/>
                <w:iCs/>
                <w:sz w:val="20"/>
                <w:szCs w:val="20"/>
              </w:rPr>
              <w:t>collagen membrane in patients aged between 18 and 55 years with one or more symptomatic focal chondral or osteochondral defects of the knee that are:</w:t>
            </w:r>
          </w:p>
          <w:p w14:paraId="678AFB7E" w14:textId="77777777" w:rsidR="00840D2A" w:rsidRPr="00B437BF" w:rsidRDefault="007046DE" w:rsidP="00840D2A">
            <w:pPr>
              <w:pStyle w:val="ListParagraph"/>
              <w:numPr>
                <w:ilvl w:val="0"/>
                <w:numId w:val="12"/>
              </w:numPr>
              <w:spacing w:before="40" w:after="120" w:line="240" w:lineRule="auto"/>
              <w:rPr>
                <w:rFonts w:ascii="Arial Narrow" w:hAnsi="Arial Narrow"/>
                <w:i/>
                <w:iCs/>
                <w:sz w:val="20"/>
                <w:szCs w:val="20"/>
              </w:rPr>
            </w:pPr>
            <w:r w:rsidRPr="00B437BF">
              <w:rPr>
                <w:rFonts w:ascii="Arial Narrow" w:hAnsi="Arial Narrow"/>
                <w:i/>
                <w:iCs/>
                <w:sz w:val="20"/>
                <w:szCs w:val="20"/>
              </w:rPr>
              <w:t>at least 2 cm² but smaller than 20 cm² in size in an otherwise normal joint</w:t>
            </w:r>
          </w:p>
          <w:p w14:paraId="59DEFE51" w14:textId="77777777" w:rsidR="00840D2A" w:rsidRPr="00B437BF" w:rsidRDefault="007046DE" w:rsidP="00840D2A">
            <w:pPr>
              <w:pStyle w:val="ListParagraph"/>
              <w:numPr>
                <w:ilvl w:val="0"/>
                <w:numId w:val="12"/>
              </w:numPr>
              <w:spacing w:before="120" w:after="120" w:line="240" w:lineRule="auto"/>
              <w:rPr>
                <w:rFonts w:ascii="Arial Narrow" w:hAnsi="Arial Narrow"/>
                <w:i/>
                <w:iCs/>
                <w:sz w:val="20"/>
                <w:szCs w:val="20"/>
              </w:rPr>
            </w:pPr>
            <w:r w:rsidRPr="00B437BF">
              <w:rPr>
                <w:rFonts w:ascii="Arial Narrow" w:hAnsi="Arial Narrow"/>
                <w:i/>
                <w:iCs/>
                <w:sz w:val="20"/>
                <w:szCs w:val="20"/>
              </w:rPr>
              <w:t>ICRS grade 3 or 4</w:t>
            </w:r>
          </w:p>
          <w:p w14:paraId="5ACF58B1" w14:textId="77777777" w:rsidR="00840D2A" w:rsidRPr="00B437BF" w:rsidRDefault="007046DE" w:rsidP="00840D2A">
            <w:pPr>
              <w:spacing w:before="120" w:after="0" w:line="240" w:lineRule="auto"/>
              <w:rPr>
                <w:rFonts w:ascii="Arial Narrow" w:hAnsi="Arial Narrow"/>
                <w:i/>
                <w:iCs/>
                <w:sz w:val="20"/>
                <w:szCs w:val="20"/>
              </w:rPr>
            </w:pPr>
            <w:r w:rsidRPr="00B437BF">
              <w:rPr>
                <w:rFonts w:ascii="Arial Narrow" w:hAnsi="Arial Narrow"/>
                <w:i/>
                <w:iCs/>
                <w:sz w:val="20"/>
                <w:szCs w:val="20"/>
              </w:rPr>
              <w:t>and who do not have rheumatoid or other inflammatory arthritic conditions, osteoarthritis or unstable or mal-aligned joints, unless being concurrently corrected.</w:t>
            </w:r>
          </w:p>
          <w:p w14:paraId="5F8A7463" w14:textId="77777777" w:rsidR="00840D2A" w:rsidRPr="00B437BF" w:rsidRDefault="007046DE" w:rsidP="00840D2A">
            <w:pPr>
              <w:spacing w:before="120" w:after="120" w:line="240" w:lineRule="auto"/>
              <w:rPr>
                <w:rFonts w:ascii="Arial Narrow" w:hAnsi="Arial Narrow"/>
                <w:i/>
                <w:iCs/>
                <w:sz w:val="20"/>
                <w:szCs w:val="20"/>
              </w:rPr>
            </w:pPr>
            <w:r w:rsidRPr="00B437BF">
              <w:rPr>
                <w:rFonts w:ascii="Arial Narrow" w:hAnsi="Arial Narrow"/>
                <w:i/>
                <w:iCs/>
                <w:sz w:val="20"/>
                <w:szCs w:val="20"/>
              </w:rPr>
              <w:t xml:space="preserve">Second of two surgical procedures, subsequent to autologous chondrocyte harvesting and expansion by in vitro culture. </w:t>
            </w:r>
          </w:p>
          <w:p w14:paraId="5D9FDDFE" w14:textId="1FBC766A" w:rsidR="00840D2A" w:rsidRPr="00B437BF" w:rsidRDefault="007046DE" w:rsidP="00840D2A">
            <w:pPr>
              <w:spacing w:before="120" w:after="120" w:line="240" w:lineRule="auto"/>
              <w:rPr>
                <w:rFonts w:ascii="Arial Narrow" w:hAnsi="Arial Narrow"/>
                <w:i/>
                <w:iCs/>
                <w:sz w:val="20"/>
                <w:szCs w:val="20"/>
              </w:rPr>
            </w:pPr>
            <w:r w:rsidRPr="00B437BF">
              <w:rPr>
                <w:rFonts w:ascii="Arial Narrow" w:hAnsi="Arial Narrow"/>
                <w:i/>
                <w:iCs/>
                <w:sz w:val="20"/>
                <w:szCs w:val="20"/>
              </w:rPr>
              <w:t>Applicable once per episode of care (for one or more lesions).</w:t>
            </w:r>
          </w:p>
          <w:p w14:paraId="0CAA12B0" w14:textId="0D74C4EC" w:rsidR="0D848790" w:rsidRPr="00B437BF" w:rsidRDefault="007046DE" w:rsidP="0D848790">
            <w:pPr>
              <w:spacing w:before="120" w:after="120" w:line="240" w:lineRule="auto"/>
              <w:rPr>
                <w:rFonts w:ascii="Arial Narrow" w:hAnsi="Arial Narrow"/>
                <w:i/>
                <w:iCs/>
                <w:sz w:val="20"/>
                <w:szCs w:val="20"/>
              </w:rPr>
            </w:pPr>
            <w:r w:rsidRPr="00B437BF">
              <w:rPr>
                <w:rFonts w:ascii="Arial Narrow" w:hAnsi="Arial Narrow"/>
                <w:i/>
                <w:iCs/>
                <w:sz w:val="20"/>
                <w:szCs w:val="20"/>
              </w:rPr>
              <w:t>Multiple Operation Rule</w:t>
            </w:r>
          </w:p>
          <w:p w14:paraId="378A67FC" w14:textId="1BF9BEDF" w:rsidR="00E536F9" w:rsidRPr="00B437BF" w:rsidRDefault="007046DE" w:rsidP="00140205">
            <w:pPr>
              <w:spacing w:before="120" w:after="120" w:line="240" w:lineRule="auto"/>
              <w:rPr>
                <w:rFonts w:ascii="Arial Narrow" w:hAnsi="Arial Narrow"/>
                <w:i/>
                <w:iCs/>
                <w:sz w:val="20"/>
                <w:szCs w:val="20"/>
              </w:rPr>
            </w:pPr>
            <w:r w:rsidRPr="00B437BF">
              <w:rPr>
                <w:rFonts w:ascii="Arial Narrow" w:hAnsi="Arial Narrow"/>
                <w:i/>
                <w:iCs/>
                <w:sz w:val="20"/>
                <w:szCs w:val="20"/>
              </w:rPr>
              <w:t>(H)</w:t>
            </w:r>
          </w:p>
          <w:p w14:paraId="61A14EB6" w14:textId="250C9039" w:rsidR="00C14780" w:rsidRPr="00CD281D" w:rsidRDefault="007046DE" w:rsidP="00140205">
            <w:pPr>
              <w:spacing w:before="120" w:after="120" w:line="240" w:lineRule="auto"/>
              <w:rPr>
                <w:rFonts w:ascii="Arial Narrow" w:hAnsi="Arial Narrow"/>
                <w:sz w:val="20"/>
                <w:szCs w:val="20"/>
              </w:rPr>
            </w:pPr>
            <w:r w:rsidRPr="00B437BF">
              <w:rPr>
                <w:rFonts w:ascii="Arial Narrow" w:hAnsi="Arial Narrow"/>
                <w:i/>
                <w:iCs/>
                <w:sz w:val="20"/>
                <w:szCs w:val="20"/>
              </w:rPr>
              <w:t>(Anaes.) (Assist.)</w:t>
            </w:r>
          </w:p>
        </w:tc>
      </w:tr>
      <w:tr w:rsidR="00FD7D5C" w14:paraId="0BD139BF" w14:textId="77777777" w:rsidTr="00070EDF">
        <w:trPr>
          <w:cantSplit/>
          <w:tblHeader/>
        </w:trPr>
        <w:tc>
          <w:tcPr>
            <w:tcW w:w="5000" w:type="pct"/>
            <w:tcBorders>
              <w:top w:val="single" w:sz="4" w:space="0" w:color="auto"/>
              <w:left w:val="single" w:sz="4" w:space="0" w:color="auto"/>
              <w:bottom w:val="single" w:sz="4" w:space="0" w:color="auto"/>
              <w:right w:val="single" w:sz="4" w:space="0" w:color="auto"/>
            </w:tcBorders>
            <w:vAlign w:val="center"/>
          </w:tcPr>
          <w:p w14:paraId="5F66F4FB" w14:textId="664338C6" w:rsidR="00A36E5C" w:rsidRPr="00DE762F" w:rsidRDefault="007046DE" w:rsidP="00AD2E84">
            <w:pPr>
              <w:keepNext/>
              <w:spacing w:before="40" w:after="40" w:line="240" w:lineRule="auto"/>
              <w:rPr>
                <w:rFonts w:ascii="Arial Narrow" w:hAnsi="Arial Narrow"/>
                <w:sz w:val="20"/>
                <w:szCs w:val="20"/>
              </w:rPr>
            </w:pPr>
            <w:r>
              <w:rPr>
                <w:rFonts w:ascii="Arial Narrow" w:hAnsi="Arial Narrow"/>
                <w:sz w:val="20"/>
                <w:szCs w:val="20"/>
              </w:rPr>
              <w:t>Proposed f</w:t>
            </w:r>
            <w:r w:rsidRPr="00DE762F">
              <w:rPr>
                <w:rFonts w:ascii="Arial Narrow" w:hAnsi="Arial Narrow"/>
                <w:sz w:val="20"/>
                <w:szCs w:val="20"/>
              </w:rPr>
              <w:t xml:space="preserve">ee: </w:t>
            </w:r>
            <w:r w:rsidR="0035136F">
              <w:rPr>
                <w:rFonts w:ascii="Arial Narrow" w:hAnsi="Arial Narrow"/>
                <w:sz w:val="20"/>
                <w:szCs w:val="20"/>
              </w:rPr>
              <w:t>$</w:t>
            </w:r>
            <w:r w:rsidR="00E52B1E">
              <w:rPr>
                <w:rFonts w:ascii="Arial Narrow" w:hAnsi="Arial Narrow"/>
                <w:sz w:val="20"/>
                <w:szCs w:val="20"/>
              </w:rPr>
              <w:t>538</w:t>
            </w:r>
            <w:r w:rsidR="00240ACB">
              <w:rPr>
                <w:rFonts w:ascii="Arial Narrow" w:hAnsi="Arial Narrow"/>
                <w:sz w:val="20"/>
                <w:szCs w:val="20"/>
              </w:rPr>
              <w:t>.90</w:t>
            </w:r>
            <w:r w:rsidR="0035136F">
              <w:tab/>
            </w:r>
            <w:r w:rsidR="0035136F">
              <w:rPr>
                <w:rFonts w:ascii="Arial Narrow" w:hAnsi="Arial Narrow"/>
                <w:sz w:val="20"/>
                <w:szCs w:val="20"/>
              </w:rPr>
              <w:t xml:space="preserve">Benefit: 75% = </w:t>
            </w:r>
            <w:r w:rsidR="0035136F" w:rsidRPr="005E77BB">
              <w:rPr>
                <w:rFonts w:ascii="Arial Narrow" w:hAnsi="Arial Narrow"/>
                <w:sz w:val="20"/>
                <w:szCs w:val="20"/>
              </w:rPr>
              <w:t>$</w:t>
            </w:r>
            <w:r w:rsidR="00240ACB">
              <w:rPr>
                <w:rFonts w:ascii="Arial Narrow" w:hAnsi="Arial Narrow"/>
                <w:sz w:val="20"/>
                <w:szCs w:val="20"/>
              </w:rPr>
              <w:t>404.20</w:t>
            </w:r>
          </w:p>
        </w:tc>
      </w:tr>
    </w:tbl>
    <w:p w14:paraId="3B0FDB7B" w14:textId="38D8344F" w:rsidR="00806140" w:rsidRDefault="007046DE" w:rsidP="008E3031">
      <w:pPr>
        <w:pStyle w:val="Tablenotes"/>
        <w:spacing w:after="240"/>
        <w:rPr>
          <w:rStyle w:val="cf01"/>
          <w:rFonts w:ascii="Arial Narrow" w:eastAsiaTheme="majorEastAsia" w:hAnsi="Arial Narrow" w:cs="Arial"/>
          <w:szCs w:val="20"/>
        </w:rPr>
      </w:pPr>
      <w:r w:rsidRPr="000544B7">
        <w:t>Note:</w:t>
      </w:r>
      <w:r w:rsidRPr="00154A13">
        <w:rPr>
          <w:rStyle w:val="Hyperlink"/>
          <w:rFonts w:ascii="Arial Narrow" w:eastAsiaTheme="majorEastAsia" w:hAnsi="Arial Narrow" w:cs="Arial"/>
          <w:color w:val="auto"/>
          <w:u w:val="none"/>
        </w:rPr>
        <w:t xml:space="preserve"> </w:t>
      </w:r>
      <w:r w:rsidR="008456C1">
        <w:rPr>
          <w:rStyle w:val="cf01"/>
          <w:rFonts w:ascii="Arial Narrow" w:eastAsiaTheme="majorEastAsia" w:hAnsi="Arial Narrow" w:cs="Arial"/>
          <w:szCs w:val="20"/>
        </w:rPr>
        <w:t>T</w:t>
      </w:r>
      <w:r w:rsidRPr="00154A13">
        <w:rPr>
          <w:rStyle w:val="cf01"/>
          <w:rFonts w:ascii="Arial Narrow" w:eastAsiaTheme="majorEastAsia" w:hAnsi="Arial Narrow" w:cs="Arial"/>
          <w:szCs w:val="20"/>
        </w:rPr>
        <w:t xml:space="preserve">ext </w:t>
      </w:r>
      <w:r w:rsidR="000D6766">
        <w:rPr>
          <w:rStyle w:val="cf01"/>
          <w:rFonts w:ascii="Arial Narrow" w:eastAsiaTheme="majorEastAsia" w:hAnsi="Arial Narrow" w:cs="Arial"/>
          <w:szCs w:val="20"/>
        </w:rPr>
        <w:t>is</w:t>
      </w:r>
      <w:r w:rsidR="008456C1">
        <w:rPr>
          <w:rStyle w:val="cf01"/>
          <w:rFonts w:ascii="Arial Narrow" w:eastAsiaTheme="majorEastAsia" w:hAnsi="Arial Narrow" w:cs="Arial"/>
          <w:szCs w:val="20"/>
        </w:rPr>
        <w:t xml:space="preserve"> </w:t>
      </w:r>
      <w:r w:rsidRPr="00154A13">
        <w:rPr>
          <w:rStyle w:val="cf01"/>
          <w:rFonts w:ascii="Arial Narrow" w:eastAsiaTheme="majorEastAsia" w:hAnsi="Arial Narrow" w:cs="Arial"/>
          <w:szCs w:val="20"/>
        </w:rPr>
        <w:t>applicant’s proposed MBS item,</w:t>
      </w:r>
      <w:r w:rsidR="00E10641">
        <w:rPr>
          <w:rStyle w:val="cf01"/>
          <w:rFonts w:ascii="Arial Narrow" w:eastAsiaTheme="majorEastAsia" w:hAnsi="Arial Narrow" w:cs="Arial"/>
          <w:szCs w:val="20"/>
        </w:rPr>
        <w:t xml:space="preserve"> Italics and</w:t>
      </w:r>
      <w:r w:rsidRPr="00154A13">
        <w:rPr>
          <w:rStyle w:val="cf01"/>
          <w:rFonts w:ascii="Arial Narrow" w:eastAsiaTheme="majorEastAsia" w:hAnsi="Arial Narrow" w:cs="Arial"/>
          <w:szCs w:val="20"/>
        </w:rPr>
        <w:t xml:space="preserve"> </w:t>
      </w:r>
      <w:r w:rsidR="004573D0">
        <w:rPr>
          <w:rStyle w:val="cf01"/>
          <w:rFonts w:ascii="Arial Narrow" w:eastAsiaTheme="majorEastAsia" w:hAnsi="Arial Narrow" w:cs="Arial"/>
          <w:szCs w:val="20"/>
        </w:rPr>
        <w:t xml:space="preserve">strikethrough </w:t>
      </w:r>
      <w:r w:rsidRPr="00154A13">
        <w:rPr>
          <w:rStyle w:val="cf01"/>
          <w:rFonts w:ascii="Arial Narrow" w:eastAsiaTheme="majorEastAsia" w:hAnsi="Arial Narrow" w:cs="Arial"/>
          <w:szCs w:val="20"/>
        </w:rPr>
        <w:t xml:space="preserve">indicates </w:t>
      </w:r>
      <w:r w:rsidR="004573D0">
        <w:rPr>
          <w:rStyle w:val="cf01"/>
          <w:rFonts w:ascii="Arial Narrow" w:eastAsiaTheme="majorEastAsia" w:hAnsi="Arial Narrow" w:cs="Arial"/>
          <w:szCs w:val="20"/>
        </w:rPr>
        <w:t xml:space="preserve">suggested edits by the </w:t>
      </w:r>
      <w:r w:rsidRPr="00154A13">
        <w:rPr>
          <w:rStyle w:val="cf01"/>
          <w:rFonts w:ascii="Arial Narrow" w:eastAsiaTheme="majorEastAsia" w:hAnsi="Arial Narrow" w:cs="Arial"/>
          <w:szCs w:val="20"/>
        </w:rPr>
        <w:t>assessment group.</w:t>
      </w:r>
    </w:p>
    <w:p w14:paraId="49C2AAC9" w14:textId="2D74625F" w:rsidR="002666C3" w:rsidRDefault="007046DE" w:rsidP="002666C3">
      <w:r>
        <w:t>The applicant also stated implantation is increasingly being achieved with arthroscopy</w:t>
      </w:r>
      <w:bookmarkStart w:id="19" w:name="_Ref160548590"/>
      <w:r>
        <w:t>.</w:t>
      </w:r>
      <w:r>
        <w:rPr>
          <w:rStyle w:val="FootnoteReference"/>
        </w:rPr>
        <w:footnoteReference w:id="17"/>
      </w:r>
      <w:bookmarkEnd w:id="19"/>
      <w:r>
        <w:t xml:space="preserve"> This is more technically challenging than implantation with arthrotomy, but results in a shorter hospital stay and fewer post-operative complications. </w:t>
      </w:r>
      <w:r w:rsidR="08CB66CE">
        <w:t xml:space="preserve">A single item allowing both surgical approaches would be </w:t>
      </w:r>
      <w:r w:rsidR="49AED9E8">
        <w:t>consistent with the principle of approach-agnostic MBS items</w:t>
      </w:r>
      <w:r w:rsidR="27152743">
        <w:t xml:space="preserve"> for surgical procedures</w:t>
      </w:r>
      <w:r w:rsidR="49AED9E8">
        <w:t xml:space="preserve"> endorsed by the MBS Review Taskforce. </w:t>
      </w:r>
    </w:p>
    <w:p w14:paraId="43A49925" w14:textId="634ED176" w:rsidR="00965A28" w:rsidRDefault="007046DE" w:rsidP="00965A28">
      <w:r>
        <w:t>The MBS item structure for knee arthroscopy, revised in 2021, is stratified into three tiers depending on the complexity of the procedure.</w:t>
      </w:r>
      <w:r>
        <w:rPr>
          <w:rStyle w:val="FootnoteReference"/>
        </w:rPr>
        <w:footnoteReference w:id="18"/>
      </w:r>
      <w:r>
        <w:t xml:space="preserve"> Tier one covers basic diagnostic arthroscopy (item 49570; fee: $300.45); </w:t>
      </w:r>
      <w:r>
        <w:lastRenderedPageBreak/>
        <w:t xml:space="preserve">Tier two covers medium complexity arthroscopy (items 49572, 49574, 49576, 49578 and 49580; fee: $731.15); and Tier three covers complex knee arthroscopy (items 49582, 49584 and 49586; fee $853.70). The application listed the appropriate </w:t>
      </w:r>
      <w:r w:rsidR="00A757A3">
        <w:t>Australian refined diagnosis-related groups (</w:t>
      </w:r>
      <w:r>
        <w:t>AR-DRG</w:t>
      </w:r>
      <w:r w:rsidR="00A757A3">
        <w:t>)</w:t>
      </w:r>
      <w:r>
        <w:t xml:space="preserve"> for the implantation procedure as ‘Arthroscopy, Minor Complexity’ (p.21 of the application). On that basis, if a second MBS item were to be considered for arthroscopic implantation, the appropriate fee may be that for a Tier two knee arthroscopy. An example of a Tier two knee arthroscopic service is </w:t>
      </w:r>
      <w:r w:rsidR="007C1494">
        <w:t>I</w:t>
      </w:r>
      <w:r>
        <w:t>tem 49576 used to claim microfracture services (</w:t>
      </w:r>
      <w:r w:rsidR="00F24BEB">
        <w:fldChar w:fldCharType="begin"/>
      </w:r>
      <w:r w:rsidR="00F24BEB">
        <w:instrText xml:space="preserve"> REF _Ref162251523 \h </w:instrText>
      </w:r>
      <w:r w:rsidR="00F24BEB">
        <w:fldChar w:fldCharType="separate"/>
      </w:r>
      <w:r w:rsidR="00E602A3">
        <w:t xml:space="preserve">Table </w:t>
      </w:r>
      <w:r w:rsidR="00E602A3">
        <w:rPr>
          <w:noProof/>
        </w:rPr>
        <w:t>12</w:t>
      </w:r>
      <w:r w:rsidR="00F24BEB">
        <w:fldChar w:fldCharType="end"/>
      </w:r>
      <w:r>
        <w:t>).</w:t>
      </w:r>
      <w:r w:rsidR="084AE5B9">
        <w:t xml:space="preserve"> </w:t>
      </w:r>
    </w:p>
    <w:p w14:paraId="1C940765" w14:textId="227F5DB7" w:rsidR="00965A28" w:rsidRDefault="007046DE" w:rsidP="00965A28">
      <w:pPr>
        <w:pStyle w:val="Caption"/>
      </w:pPr>
      <w:bookmarkStart w:id="20" w:name="_Ref162251523"/>
      <w:r>
        <w:t xml:space="preserve">Table </w:t>
      </w:r>
      <w:r>
        <w:fldChar w:fldCharType="begin"/>
      </w:r>
      <w:r>
        <w:instrText xml:space="preserve"> SEQ Table \* ARABIC </w:instrText>
      </w:r>
      <w:r>
        <w:fldChar w:fldCharType="separate"/>
      </w:r>
      <w:r w:rsidR="00E602A3">
        <w:rPr>
          <w:noProof/>
        </w:rPr>
        <w:t>12</w:t>
      </w:r>
      <w:r>
        <w:fldChar w:fldCharType="end"/>
      </w:r>
      <w:bookmarkEnd w:id="20"/>
      <w:r>
        <w:tab/>
        <w:t>MBS items to support fees for proposed service for chondrocyte implantation</w:t>
      </w:r>
    </w:p>
    <w:tbl>
      <w:tblPr>
        <w:tblStyle w:val="TableGrid"/>
        <w:tblW w:w="0" w:type="auto"/>
        <w:tblLook w:val="04A0" w:firstRow="1" w:lastRow="0" w:firstColumn="1" w:lastColumn="0" w:noHBand="0" w:noVBand="1"/>
        <w:tblCaption w:val="Table 10 MBS items to support fees for proposed service for chondrocyte implantation"/>
        <w:tblDescription w:val="A table listing recent claims data for MBS items used, or potentially used, to claim services for alternative surgical options."/>
      </w:tblPr>
      <w:tblGrid>
        <w:gridCol w:w="982"/>
        <w:gridCol w:w="6526"/>
        <w:gridCol w:w="2063"/>
      </w:tblGrid>
      <w:tr w:rsidR="00FD7D5C" w14:paraId="33C9D50E" w14:textId="77777777">
        <w:tc>
          <w:tcPr>
            <w:tcW w:w="982" w:type="dxa"/>
            <w:tcBorders>
              <w:bottom w:val="single" w:sz="4" w:space="0" w:color="auto"/>
            </w:tcBorders>
          </w:tcPr>
          <w:p w14:paraId="75EC7731" w14:textId="77777777" w:rsidR="00965A28" w:rsidRDefault="007046DE">
            <w:pPr>
              <w:pStyle w:val="TableHeading"/>
            </w:pPr>
            <w:r>
              <w:t>MBS item</w:t>
            </w:r>
          </w:p>
        </w:tc>
        <w:tc>
          <w:tcPr>
            <w:tcW w:w="6526" w:type="dxa"/>
            <w:tcBorders>
              <w:bottom w:val="single" w:sz="4" w:space="0" w:color="auto"/>
            </w:tcBorders>
          </w:tcPr>
          <w:p w14:paraId="0BA59A46" w14:textId="77777777" w:rsidR="00965A28" w:rsidRDefault="007046DE">
            <w:pPr>
              <w:pStyle w:val="TableHeading"/>
            </w:pPr>
            <w:r>
              <w:t>Descriptor excerpt</w:t>
            </w:r>
          </w:p>
        </w:tc>
        <w:tc>
          <w:tcPr>
            <w:tcW w:w="2063" w:type="dxa"/>
            <w:tcBorders>
              <w:bottom w:val="single" w:sz="4" w:space="0" w:color="auto"/>
            </w:tcBorders>
          </w:tcPr>
          <w:p w14:paraId="6B1C327D" w14:textId="77777777" w:rsidR="00965A28" w:rsidRDefault="007046DE">
            <w:pPr>
              <w:pStyle w:val="TableHeading"/>
            </w:pPr>
            <w:r>
              <w:t>Benefit</w:t>
            </w:r>
          </w:p>
        </w:tc>
      </w:tr>
      <w:tr w:rsidR="00FD7D5C" w14:paraId="2B69A2BC" w14:textId="77777777" w:rsidTr="00616009">
        <w:tc>
          <w:tcPr>
            <w:tcW w:w="982" w:type="dxa"/>
            <w:tcBorders>
              <w:right w:val="nil"/>
            </w:tcBorders>
            <w:shd w:val="clear" w:color="auto" w:fill="auto"/>
          </w:tcPr>
          <w:p w14:paraId="60FF4670" w14:textId="77777777" w:rsidR="00965A28" w:rsidRPr="00CB02A7" w:rsidRDefault="00965A28">
            <w:pPr>
              <w:pStyle w:val="TableText0"/>
              <w:keepNext/>
              <w:rPr>
                <w:b/>
                <w:bCs/>
              </w:rPr>
            </w:pPr>
          </w:p>
        </w:tc>
        <w:tc>
          <w:tcPr>
            <w:tcW w:w="6526" w:type="dxa"/>
            <w:tcBorders>
              <w:left w:val="nil"/>
              <w:right w:val="nil"/>
            </w:tcBorders>
            <w:shd w:val="clear" w:color="auto" w:fill="auto"/>
          </w:tcPr>
          <w:p w14:paraId="3C3E140C" w14:textId="77777777" w:rsidR="00965A28" w:rsidRPr="00CB02A7" w:rsidRDefault="007046DE">
            <w:pPr>
              <w:pStyle w:val="TableText0"/>
              <w:keepNext/>
              <w:rPr>
                <w:b/>
                <w:bCs/>
              </w:rPr>
            </w:pPr>
            <w:r>
              <w:rPr>
                <w:b/>
                <w:bCs/>
              </w:rPr>
              <w:t>MBS item proposed by applicant to support fee for implantation by arthrotomy</w:t>
            </w:r>
          </w:p>
        </w:tc>
        <w:tc>
          <w:tcPr>
            <w:tcW w:w="2063" w:type="dxa"/>
            <w:tcBorders>
              <w:left w:val="nil"/>
            </w:tcBorders>
            <w:shd w:val="clear" w:color="auto" w:fill="auto"/>
          </w:tcPr>
          <w:p w14:paraId="3493F6A3" w14:textId="77777777" w:rsidR="00965A28" w:rsidRPr="00CB02A7" w:rsidRDefault="00965A28">
            <w:pPr>
              <w:pStyle w:val="TableText0"/>
              <w:keepNext/>
              <w:jc w:val="right"/>
              <w:rPr>
                <w:b/>
                <w:bCs/>
              </w:rPr>
            </w:pPr>
          </w:p>
        </w:tc>
      </w:tr>
      <w:tr w:rsidR="00FD7D5C" w14:paraId="66A5EC76" w14:textId="77777777">
        <w:tc>
          <w:tcPr>
            <w:tcW w:w="982" w:type="dxa"/>
          </w:tcPr>
          <w:p w14:paraId="0E94BFC5" w14:textId="77777777" w:rsidR="00965A28" w:rsidRDefault="007046DE">
            <w:pPr>
              <w:pStyle w:val="TableText0"/>
              <w:keepNext/>
            </w:pPr>
            <w:r w:rsidRPr="00A46B72">
              <w:t>49503</w:t>
            </w:r>
          </w:p>
        </w:tc>
        <w:tc>
          <w:tcPr>
            <w:tcW w:w="6526" w:type="dxa"/>
          </w:tcPr>
          <w:p w14:paraId="7B8DA841" w14:textId="77777777" w:rsidR="00965A28" w:rsidRDefault="007046DE">
            <w:pPr>
              <w:pStyle w:val="TableText0"/>
              <w:keepNext/>
            </w:pPr>
            <w:r>
              <w:t>Arthrotomy of knee, including one of the following:</w:t>
            </w:r>
          </w:p>
          <w:p w14:paraId="047CAE97" w14:textId="77777777" w:rsidR="00965A28" w:rsidRDefault="007046DE">
            <w:pPr>
              <w:pStyle w:val="TableText0"/>
              <w:keepNext/>
            </w:pPr>
            <w:r>
              <w:t>(a) meniscal surgery;</w:t>
            </w:r>
          </w:p>
          <w:p w14:paraId="083B1EC9" w14:textId="7960EFCF" w:rsidR="00A7631F" w:rsidRDefault="007046DE">
            <w:pPr>
              <w:pStyle w:val="TableText0"/>
              <w:keepNext/>
            </w:pPr>
            <w:r>
              <w:t xml:space="preserve">(b) repair of collateral or cruciate ligament; </w:t>
            </w:r>
          </w:p>
          <w:p w14:paraId="1C84D0BD" w14:textId="57379645" w:rsidR="00965A28" w:rsidRDefault="00A7631F">
            <w:pPr>
              <w:pStyle w:val="TableText0"/>
              <w:keepNext/>
            </w:pPr>
            <w:r>
              <w:t>(c)</w:t>
            </w:r>
            <w:r w:rsidR="000E685E">
              <w:t xml:space="preserve"> </w:t>
            </w:r>
            <w:r>
              <w:t>patellectomy;</w:t>
            </w:r>
          </w:p>
          <w:p w14:paraId="2E48ABB7" w14:textId="7C359888" w:rsidR="00965A28" w:rsidRDefault="007046DE">
            <w:pPr>
              <w:pStyle w:val="TableText0"/>
              <w:keepNext/>
            </w:pPr>
            <w:r>
              <w:t>(d) single transfer of ligament or tend</w:t>
            </w:r>
            <w:r w:rsidR="000E685E">
              <w:t>on;</w:t>
            </w:r>
          </w:p>
          <w:p w14:paraId="34F06924" w14:textId="77777777" w:rsidR="00965A28" w:rsidRDefault="007046DE">
            <w:pPr>
              <w:pStyle w:val="TableText0"/>
              <w:keepNext/>
            </w:pPr>
            <w:r w:rsidRPr="00D02BF1">
              <w:rPr>
                <w:b/>
                <w:bCs/>
              </w:rPr>
              <w:t>(e) repair or replacement of chondral or osteochondral surface</w:t>
            </w:r>
            <w:r>
              <w:t xml:space="preserve"> (excluding prosthetic replacement);</w:t>
            </w:r>
          </w:p>
          <w:p w14:paraId="05FE65DF" w14:textId="77777777" w:rsidR="00965A28" w:rsidRDefault="007046DE">
            <w:pPr>
              <w:pStyle w:val="TableText0"/>
              <w:keepNext/>
            </w:pPr>
            <w:r>
              <w:t>other than a service associated with a service to which another item in this Group applies</w:t>
            </w:r>
          </w:p>
        </w:tc>
        <w:tc>
          <w:tcPr>
            <w:tcW w:w="2063" w:type="dxa"/>
          </w:tcPr>
          <w:p w14:paraId="0B96BCAF" w14:textId="77777777" w:rsidR="00965A28" w:rsidRDefault="007046DE">
            <w:pPr>
              <w:pStyle w:val="TableText0"/>
              <w:keepNext/>
              <w:rPr>
                <w:szCs w:val="20"/>
              </w:rPr>
            </w:pPr>
            <w:r w:rsidRPr="00DE762F">
              <w:rPr>
                <w:szCs w:val="20"/>
              </w:rPr>
              <w:t xml:space="preserve">Fee: </w:t>
            </w:r>
            <w:r>
              <w:rPr>
                <w:szCs w:val="20"/>
              </w:rPr>
              <w:t>$538.90</w:t>
            </w:r>
          </w:p>
          <w:p w14:paraId="30D1408B" w14:textId="77777777" w:rsidR="00965A28" w:rsidRDefault="007046DE">
            <w:pPr>
              <w:pStyle w:val="TableText0"/>
              <w:keepNext/>
            </w:pPr>
            <w:r>
              <w:rPr>
                <w:szCs w:val="20"/>
              </w:rPr>
              <w:t>Benefit: 75% = $404.20</w:t>
            </w:r>
          </w:p>
        </w:tc>
      </w:tr>
      <w:tr w:rsidR="00FD7D5C" w14:paraId="10BB74B0" w14:textId="77777777" w:rsidTr="00616009">
        <w:tc>
          <w:tcPr>
            <w:tcW w:w="982" w:type="dxa"/>
            <w:tcBorders>
              <w:right w:val="nil"/>
            </w:tcBorders>
            <w:shd w:val="clear" w:color="auto" w:fill="auto"/>
          </w:tcPr>
          <w:p w14:paraId="066D4E27" w14:textId="77777777" w:rsidR="00965A28" w:rsidRPr="00CB02A7" w:rsidRDefault="00965A28">
            <w:pPr>
              <w:pStyle w:val="TableText0"/>
              <w:keepNext/>
              <w:rPr>
                <w:b/>
                <w:bCs/>
              </w:rPr>
            </w:pPr>
          </w:p>
        </w:tc>
        <w:tc>
          <w:tcPr>
            <w:tcW w:w="6526" w:type="dxa"/>
            <w:tcBorders>
              <w:left w:val="nil"/>
              <w:right w:val="nil"/>
            </w:tcBorders>
            <w:shd w:val="clear" w:color="auto" w:fill="auto"/>
          </w:tcPr>
          <w:p w14:paraId="2A5BD522" w14:textId="77777777" w:rsidR="00965A28" w:rsidRPr="00CB02A7" w:rsidRDefault="007046DE">
            <w:pPr>
              <w:pStyle w:val="TableText0"/>
              <w:keepNext/>
              <w:rPr>
                <w:b/>
                <w:bCs/>
              </w:rPr>
            </w:pPr>
            <w:r>
              <w:rPr>
                <w:b/>
                <w:bCs/>
              </w:rPr>
              <w:t>MBS items that could support fee for an arthroscopic implantation service</w:t>
            </w:r>
          </w:p>
        </w:tc>
        <w:tc>
          <w:tcPr>
            <w:tcW w:w="2063" w:type="dxa"/>
            <w:tcBorders>
              <w:left w:val="nil"/>
            </w:tcBorders>
            <w:shd w:val="clear" w:color="auto" w:fill="auto"/>
          </w:tcPr>
          <w:p w14:paraId="200C3E37" w14:textId="77777777" w:rsidR="00965A28" w:rsidRPr="00CB02A7" w:rsidRDefault="00965A28">
            <w:pPr>
              <w:pStyle w:val="TableText0"/>
              <w:keepNext/>
              <w:jc w:val="right"/>
              <w:rPr>
                <w:b/>
                <w:bCs/>
              </w:rPr>
            </w:pPr>
          </w:p>
        </w:tc>
      </w:tr>
      <w:tr w:rsidR="00FD7D5C" w14:paraId="40E08CA4" w14:textId="77777777">
        <w:tc>
          <w:tcPr>
            <w:tcW w:w="982" w:type="dxa"/>
          </w:tcPr>
          <w:p w14:paraId="027839F7" w14:textId="77777777" w:rsidR="00965A28" w:rsidRPr="00943341" w:rsidRDefault="007046DE">
            <w:pPr>
              <w:pStyle w:val="TableText0"/>
              <w:keepNext/>
            </w:pPr>
            <w:r w:rsidRPr="00726B92">
              <w:t>49576</w:t>
            </w:r>
          </w:p>
        </w:tc>
        <w:tc>
          <w:tcPr>
            <w:tcW w:w="6526" w:type="dxa"/>
          </w:tcPr>
          <w:p w14:paraId="59546AC8" w14:textId="77777777" w:rsidR="00965A28" w:rsidRDefault="007046DE">
            <w:pPr>
              <w:pStyle w:val="TableText0"/>
              <w:keepNext/>
            </w:pPr>
            <w:r>
              <w:t>Repair of chondral lesion of knee, by arthroscopic means, including either or both of the following (if performed):</w:t>
            </w:r>
          </w:p>
          <w:p w14:paraId="16916163" w14:textId="77777777" w:rsidR="00965A28" w:rsidRDefault="007046DE">
            <w:pPr>
              <w:pStyle w:val="TableText0"/>
              <w:keepNext/>
            </w:pPr>
            <w:r>
              <w:t>(a) microfracture;</w:t>
            </w:r>
          </w:p>
          <w:p w14:paraId="6251DE91" w14:textId="77777777" w:rsidR="00965A28" w:rsidRDefault="007046DE">
            <w:pPr>
              <w:pStyle w:val="TableText0"/>
              <w:keepNext/>
            </w:pPr>
            <w:r>
              <w:t>(b) microdrilling;</w:t>
            </w:r>
          </w:p>
          <w:p w14:paraId="79D44514" w14:textId="77777777" w:rsidR="00965A28" w:rsidRPr="00943341" w:rsidRDefault="007046DE">
            <w:pPr>
              <w:pStyle w:val="TableText0"/>
              <w:keepNext/>
            </w:pPr>
            <w:r>
              <w:t>other than a service performed in combination with a service to which another item of this Schedule applies if the service described in the other item is for the purpose of performing chondral or osteochondral grafts</w:t>
            </w:r>
          </w:p>
        </w:tc>
        <w:tc>
          <w:tcPr>
            <w:tcW w:w="2063" w:type="dxa"/>
          </w:tcPr>
          <w:p w14:paraId="5F6AF963" w14:textId="77777777" w:rsidR="00965A28" w:rsidRDefault="007046DE">
            <w:pPr>
              <w:pStyle w:val="TableText0"/>
              <w:keepNext/>
              <w:rPr>
                <w:szCs w:val="20"/>
              </w:rPr>
            </w:pPr>
            <w:r w:rsidRPr="00CD2A7F">
              <w:rPr>
                <w:szCs w:val="20"/>
              </w:rPr>
              <w:t>Fee: $731.15</w:t>
            </w:r>
          </w:p>
          <w:p w14:paraId="25EE452D" w14:textId="77777777" w:rsidR="00965A28" w:rsidRPr="00F20F27" w:rsidRDefault="007046DE">
            <w:pPr>
              <w:pStyle w:val="TableText0"/>
              <w:keepNext/>
              <w:rPr>
                <w:szCs w:val="20"/>
              </w:rPr>
            </w:pPr>
            <w:r w:rsidRPr="00CD2A7F">
              <w:rPr>
                <w:szCs w:val="20"/>
              </w:rPr>
              <w:t>Benefit: 75% = $548.40</w:t>
            </w:r>
          </w:p>
        </w:tc>
      </w:tr>
    </w:tbl>
    <w:p w14:paraId="01803963" w14:textId="629A4EBE" w:rsidR="00965A28" w:rsidRPr="00C834D5" w:rsidRDefault="007046DE" w:rsidP="001E4347">
      <w:pPr>
        <w:pStyle w:val="Tablenotes"/>
        <w:spacing w:after="240"/>
        <w:rPr>
          <w:color w:val="000000" w:themeColor="text1"/>
        </w:rPr>
      </w:pPr>
      <w:r>
        <w:t xml:space="preserve">Source. MBS online, Department of Health and Aged Care, accessed March 2024 at </w:t>
      </w:r>
      <w:hyperlink r:id="rId22" w:tooltip="Link to search page for MBS online." w:history="1">
        <w:r w:rsidRPr="00C834D5">
          <w:rPr>
            <w:rStyle w:val="Hyperlink"/>
            <w:rFonts w:ascii="Arial Narrow" w:hAnsi="Arial Narrow" w:cs="Arial"/>
            <w:color w:val="000000" w:themeColor="text1"/>
          </w:rPr>
          <w:t>https://www9.health.gov.au/mbs/search.cfm</w:t>
        </w:r>
      </w:hyperlink>
    </w:p>
    <w:p w14:paraId="0C8DBAE3" w14:textId="295919BC" w:rsidR="00425261" w:rsidRDefault="007046DE" w:rsidP="00425261">
      <w:pPr>
        <w:pStyle w:val="Heading3"/>
      </w:pPr>
      <w:r>
        <w:t>Number of services</w:t>
      </w:r>
      <w:r w:rsidR="008E15AD">
        <w:t xml:space="preserve"> claimable</w:t>
      </w:r>
    </w:p>
    <w:p w14:paraId="4CCCBEBA" w14:textId="58D0D6F1" w:rsidR="005D1323" w:rsidRDefault="007046DE" w:rsidP="00D9713E">
      <w:pPr>
        <w:keepNext/>
      </w:pPr>
      <w:r>
        <w:t>The applicant propose</w:t>
      </w:r>
      <w:r w:rsidR="00344376">
        <w:t>d</w:t>
      </w:r>
      <w:r>
        <w:t xml:space="preserve"> that more than one lesion can be treated simultaneously within a single joint </w:t>
      </w:r>
      <w:r w:rsidR="00A42A5D">
        <w:t>as part of the single episode of care</w:t>
      </w:r>
      <w:r w:rsidR="007B13D6">
        <w:t xml:space="preserve">, with no additional costs associated with the chondrocyte expansion service. </w:t>
      </w:r>
      <w:r w:rsidR="007D2749">
        <w:t>The applicant also propose</w:t>
      </w:r>
      <w:r w:rsidR="00344376">
        <w:t>d</w:t>
      </w:r>
      <w:r w:rsidR="007D2749">
        <w:t xml:space="preserve"> that patients </w:t>
      </w:r>
      <w:r w:rsidR="007D2749" w:rsidRPr="00D16BD5">
        <w:t>who</w:t>
      </w:r>
      <w:r w:rsidR="007D2749">
        <w:t xml:space="preserve"> subsequently</w:t>
      </w:r>
      <w:r w:rsidR="007D2749" w:rsidRPr="00D16BD5">
        <w:t xml:space="preserve"> incur a </w:t>
      </w:r>
      <w:r w:rsidR="006B78C1">
        <w:t>new</w:t>
      </w:r>
      <w:r w:rsidR="007D2749" w:rsidRPr="00D16BD5">
        <w:t xml:space="preserve"> lesion in either the same knee or other knee should</w:t>
      </w:r>
      <w:r w:rsidR="007D2749">
        <w:t xml:space="preserve"> </w:t>
      </w:r>
      <w:r w:rsidR="007D2749" w:rsidRPr="00D16BD5">
        <w:t xml:space="preserve">be eligible for an additional </w:t>
      </w:r>
      <w:r w:rsidR="007D2749">
        <w:t xml:space="preserve">MBS </w:t>
      </w:r>
      <w:r w:rsidR="007D2749" w:rsidRPr="00D16BD5">
        <w:t>service</w:t>
      </w:r>
      <w:r w:rsidR="00B54E3C">
        <w:t xml:space="preserve"> and</w:t>
      </w:r>
      <w:r w:rsidR="00486B23">
        <w:t xml:space="preserve"> has not proposed a limit to the number of times the service can be claimed by a patient</w:t>
      </w:r>
      <w:r w:rsidR="007D2749" w:rsidRPr="00D16BD5">
        <w:t>.</w:t>
      </w:r>
      <w:bookmarkStart w:id="21" w:name="_Ref160569991"/>
      <w:r>
        <w:rPr>
          <w:rStyle w:val="FootnoteReference"/>
        </w:rPr>
        <w:footnoteReference w:id="19"/>
      </w:r>
      <w:bookmarkEnd w:id="21"/>
      <w:r w:rsidR="00C01D62">
        <w:t xml:space="preserve"> </w:t>
      </w:r>
    </w:p>
    <w:p w14:paraId="52FF9E26" w14:textId="5ED2B7C9" w:rsidR="00F2138D" w:rsidRDefault="007046DE" w:rsidP="00D9713E">
      <w:pPr>
        <w:keepNext/>
      </w:pPr>
      <w:r>
        <w:t xml:space="preserve">The applicant </w:t>
      </w:r>
      <w:r w:rsidR="00AA1F90">
        <w:t xml:space="preserve">has </w:t>
      </w:r>
      <w:r w:rsidR="00F3406A">
        <w:t xml:space="preserve">not proposed a limit to the number of times the service can be claimed for a </w:t>
      </w:r>
      <w:r w:rsidR="00EC429E">
        <w:t xml:space="preserve">particular </w:t>
      </w:r>
      <w:r w:rsidR="00F3406A">
        <w:t>lesion</w:t>
      </w:r>
      <w:r w:rsidR="006C2699">
        <w:t>,</w:t>
      </w:r>
      <w:r w:rsidR="00F3406A">
        <w:t xml:space="preserve"> </w:t>
      </w:r>
      <w:r w:rsidR="006C2699">
        <w:t>noting</w:t>
      </w:r>
      <w:r w:rsidRPr="0047766E">
        <w:t xml:space="preserve"> that </w:t>
      </w:r>
      <w:r w:rsidR="00721B5F">
        <w:t xml:space="preserve">if </w:t>
      </w:r>
      <w:r w:rsidR="00F21642" w:rsidRPr="0047766E">
        <w:t>treatment fails</w:t>
      </w:r>
      <w:r w:rsidR="00096868">
        <w:t xml:space="preserve">, </w:t>
      </w:r>
      <w:r w:rsidR="00504F68">
        <w:t>some</w:t>
      </w:r>
      <w:r w:rsidR="00721B5F">
        <w:t xml:space="preserve"> patient</w:t>
      </w:r>
      <w:r w:rsidR="00504F68">
        <w:t>s</w:t>
      </w:r>
      <w:r w:rsidR="00721B5F">
        <w:t xml:space="preserve"> </w:t>
      </w:r>
      <w:r w:rsidR="00CE55AF">
        <w:t>may</w:t>
      </w:r>
      <w:r w:rsidR="00EC429E">
        <w:t xml:space="preserve"> undergo</w:t>
      </w:r>
      <w:r w:rsidR="00721B5F">
        <w:t xml:space="preserve"> </w:t>
      </w:r>
      <w:r w:rsidR="00096868">
        <w:t>a second procedure to repair th</w:t>
      </w:r>
      <w:r w:rsidR="002643E2">
        <w:t>e same</w:t>
      </w:r>
      <w:r w:rsidR="00096868">
        <w:t xml:space="preserve"> lesion</w:t>
      </w:r>
      <w:r w:rsidR="00A270F3">
        <w:t>.</w:t>
      </w:r>
      <w:r>
        <w:rPr>
          <w:rStyle w:val="FootnoteReference"/>
        </w:rPr>
        <w:footnoteReference w:id="20"/>
      </w:r>
      <w:r w:rsidR="00A270F3">
        <w:t xml:space="preserve"> </w:t>
      </w:r>
      <w:r w:rsidR="00E26B18">
        <w:t>According to the applicant, i</w:t>
      </w:r>
      <w:r w:rsidR="000E6B4B">
        <w:t>f the</w:t>
      </w:r>
      <w:r w:rsidR="00096868">
        <w:t xml:space="preserve"> second</w:t>
      </w:r>
      <w:r w:rsidRPr="0047766E">
        <w:t xml:space="preserve"> repair</w:t>
      </w:r>
      <w:r w:rsidR="007C4963">
        <w:t xml:space="preserve"> </w:t>
      </w:r>
      <w:r w:rsidR="00A208D7">
        <w:t xml:space="preserve">also </w:t>
      </w:r>
      <w:r w:rsidRPr="0047766E">
        <w:t xml:space="preserve">fails, patients generally do not have </w:t>
      </w:r>
      <w:r w:rsidR="00096868">
        <w:t xml:space="preserve">any further ACI </w:t>
      </w:r>
      <w:r w:rsidRPr="0047766E">
        <w:t>procedure</w:t>
      </w:r>
      <w:r w:rsidR="00096868">
        <w:t xml:space="preserve">s for that lesion, instead </w:t>
      </w:r>
      <w:r w:rsidR="00811D42">
        <w:t xml:space="preserve">returning to </w:t>
      </w:r>
      <w:r w:rsidRPr="0047766E">
        <w:t>conservative treatment or proceed</w:t>
      </w:r>
      <w:r w:rsidR="00811D42">
        <w:t>ing</w:t>
      </w:r>
      <w:r w:rsidRPr="0047766E">
        <w:t xml:space="preserve"> to partial </w:t>
      </w:r>
      <w:r w:rsidRPr="0047766E">
        <w:lastRenderedPageBreak/>
        <w:t>or total knee replacement</w:t>
      </w:r>
      <w:r w:rsidR="00591991">
        <w:t>.</w:t>
      </w:r>
      <w:r>
        <w:rPr>
          <w:rStyle w:val="FootnoteReference"/>
        </w:rPr>
        <w:footnoteReference w:id="21"/>
      </w:r>
      <w:r w:rsidR="00591991">
        <w:t xml:space="preserve"> </w:t>
      </w:r>
      <w:r w:rsidR="009A437D">
        <w:t xml:space="preserve">However, the application did not </w:t>
      </w:r>
      <w:r w:rsidR="00534955">
        <w:t>appear to provide any evid</w:t>
      </w:r>
      <w:r w:rsidR="008A1A0A">
        <w:t xml:space="preserve">ence </w:t>
      </w:r>
      <w:r w:rsidR="009B4C04">
        <w:t>on patients rece</w:t>
      </w:r>
      <w:r w:rsidR="00D539E0">
        <w:t xml:space="preserve">iving repeat procedures. </w:t>
      </w:r>
    </w:p>
    <w:p w14:paraId="0B24D0CB" w14:textId="0B44C1B8" w:rsidR="00CC0E8F" w:rsidRDefault="007046DE" w:rsidP="00D9713E">
      <w:pPr>
        <w:keepNext/>
      </w:pPr>
      <w:r>
        <w:t xml:space="preserve">When considering the 2012 DAP </w:t>
      </w:r>
      <w:r w:rsidR="00E020D9">
        <w:t>(</w:t>
      </w:r>
      <w:r w:rsidR="00956B00">
        <w:t xml:space="preserve">MSAC application </w:t>
      </w:r>
      <w:r w:rsidR="00E020D9">
        <w:t xml:space="preserve">1273), </w:t>
      </w:r>
      <w:r w:rsidR="00F206DE">
        <w:t>PASC advised</w:t>
      </w:r>
      <w:r w:rsidR="00D9713E">
        <w:t xml:space="preserve"> the following</w:t>
      </w:r>
      <w:r w:rsidR="00F222EB">
        <w:t xml:space="preserve"> regarding </w:t>
      </w:r>
      <w:r w:rsidR="00213305">
        <w:t xml:space="preserve">the </w:t>
      </w:r>
      <w:r w:rsidR="00A833E2">
        <w:t xml:space="preserve">number of times the item could be claimed under </w:t>
      </w:r>
      <w:r w:rsidR="00213305">
        <w:t>the MBS</w:t>
      </w:r>
      <w:r w:rsidR="00FC7EC2">
        <w:t>:</w:t>
      </w:r>
    </w:p>
    <w:p w14:paraId="64221A9E" w14:textId="456A36E2" w:rsidR="00FC7EC2" w:rsidRDefault="007046DE" w:rsidP="00D9713E">
      <w:pPr>
        <w:ind w:left="283" w:right="283"/>
      </w:pPr>
      <w:r w:rsidRPr="00D9713E">
        <w:t xml:space="preserve">‘…the suggested listing could be expanded to allow for repeat and additional procedures however, if the listing were expanded to permit more than one service per patient per lifetime, then the application should also present evidence of effectiveness of repeat or additional </w:t>
      </w:r>
      <w:r w:rsidR="002D4C25">
        <w:t xml:space="preserve">matrix-assisted </w:t>
      </w:r>
      <w:r w:rsidRPr="00D9713E">
        <w:t xml:space="preserve">ACI procedures. Furthermore, the cost-effectiveness analysis would need to be adjusted to include the costs and benefits of repeat or additional </w:t>
      </w:r>
      <w:r w:rsidR="002D4C25">
        <w:t>matrix ass</w:t>
      </w:r>
      <w:r w:rsidR="00D23CDF">
        <w:t xml:space="preserve">isted </w:t>
      </w:r>
      <w:r w:rsidRPr="00D9713E">
        <w:t xml:space="preserve">ACI procedures. Alternatively, if the applicant considers that the risk of a repeat or additional MACI in a patient is so low that it should be considered negligible then the application should present evidence (e.g. from a registry) demonstrating the rate of repeat or additional </w:t>
      </w:r>
      <w:r w:rsidR="00D23CDF">
        <w:t xml:space="preserve">matrix-assisted </w:t>
      </w:r>
      <w:r w:rsidRPr="00D9713E">
        <w:t xml:space="preserve">ACIs in patients having had </w:t>
      </w:r>
      <w:r w:rsidR="00D23CDF">
        <w:t xml:space="preserve">matrix-assisted </w:t>
      </w:r>
      <w:r w:rsidRPr="00D9713E">
        <w:t>ACI.’</w:t>
      </w:r>
    </w:p>
    <w:p w14:paraId="46880E1D" w14:textId="7DEFF5CD" w:rsidR="00B119CE" w:rsidRDefault="007046DE" w:rsidP="00D75549">
      <w:pPr>
        <w:pStyle w:val="Heading3"/>
      </w:pPr>
      <w:r>
        <w:t>Prescribed List</w:t>
      </w:r>
      <w:r w:rsidR="008121F2" w:rsidRPr="008121F2">
        <w:t xml:space="preserve"> of Medical Devices and Human Tissue Products</w:t>
      </w:r>
    </w:p>
    <w:p w14:paraId="56612446" w14:textId="6E7EDC88" w:rsidR="00E0231A" w:rsidRDefault="007046DE" w:rsidP="00F45C1A">
      <w:r>
        <w:t>OrthoACI and analogous technologies from other sponsors were originally listed on Part B of the PL, prior to de-listing after the MSAC decision in 2010 to no longer fund the</w:t>
      </w:r>
      <w:r w:rsidR="00801BDD">
        <w:t xml:space="preserve"> harvesting and implantation</w:t>
      </w:r>
      <w:r>
        <w:t xml:space="preserve"> service</w:t>
      </w:r>
      <w:r w:rsidR="00801BDD">
        <w:t>s</w:t>
      </w:r>
      <w:r>
        <w:t xml:space="preserve"> (</w:t>
      </w:r>
      <w:r w:rsidR="0032046F">
        <w:t>MSAC a</w:t>
      </w:r>
      <w:r w:rsidR="00402F53">
        <w:t>pplication 1140 for ACI/</w:t>
      </w:r>
      <w:r w:rsidR="00D23CDF">
        <w:t>matrix-assisted</w:t>
      </w:r>
      <w:r w:rsidR="00CA45F0">
        <w:t xml:space="preserve"> </w:t>
      </w:r>
      <w:r w:rsidR="00402F53">
        <w:t>ACI).</w:t>
      </w:r>
      <w:r w:rsidR="00040036">
        <w:t xml:space="preserve"> </w:t>
      </w:r>
      <w:r w:rsidR="00AD789E">
        <w:t>T</w:t>
      </w:r>
      <w:r w:rsidR="00AD789E" w:rsidRPr="008A4DAF">
        <w:t>he applicant note</w:t>
      </w:r>
      <w:r w:rsidR="00B006E0">
        <w:t>d</w:t>
      </w:r>
      <w:r w:rsidR="00AD789E" w:rsidRPr="008A4DAF">
        <w:t xml:space="preserve"> </w:t>
      </w:r>
      <w:r w:rsidR="00AD789E">
        <w:t>OrthoACI is</w:t>
      </w:r>
      <w:r w:rsidR="00402F53">
        <w:t xml:space="preserve"> currently</w:t>
      </w:r>
      <w:r w:rsidR="00AD789E">
        <w:t xml:space="preserve"> the </w:t>
      </w:r>
      <w:r w:rsidR="00AD789E" w:rsidRPr="00720FE7">
        <w:t xml:space="preserve">only </w:t>
      </w:r>
      <w:r w:rsidR="00DF4462">
        <w:t>ACI</w:t>
      </w:r>
      <w:r w:rsidR="00AD789E" w:rsidRPr="00720FE7">
        <w:t xml:space="preserve"> product manufactured in Australia</w:t>
      </w:r>
      <w:r w:rsidR="00AD789E">
        <w:t>,</w:t>
      </w:r>
      <w:r w:rsidR="00AD789E" w:rsidRPr="00720FE7">
        <w:t xml:space="preserve"> </w:t>
      </w:r>
      <w:r w:rsidR="00AD789E">
        <w:t xml:space="preserve">and </w:t>
      </w:r>
      <w:r>
        <w:t xml:space="preserve">that </w:t>
      </w:r>
      <w:r w:rsidR="00AD789E">
        <w:t>there</w:t>
      </w:r>
      <w:r w:rsidR="00AD789E" w:rsidRPr="00720FE7">
        <w:t xml:space="preserve"> are no similar products </w:t>
      </w:r>
      <w:r w:rsidR="00AD789E">
        <w:t xml:space="preserve">used </w:t>
      </w:r>
      <w:r w:rsidR="00AD789E" w:rsidRPr="00720FE7">
        <w:t>in Australia.</w:t>
      </w:r>
      <w:r w:rsidR="00AD789E">
        <w:t xml:space="preserve"> </w:t>
      </w:r>
      <w:r w:rsidR="007D4929">
        <w:t xml:space="preserve">No other </w:t>
      </w:r>
      <w:r w:rsidR="00DF4462">
        <w:t xml:space="preserve">ACI products are </w:t>
      </w:r>
      <w:r w:rsidR="00DF6353">
        <w:t xml:space="preserve">currently </w:t>
      </w:r>
      <w:r w:rsidR="00DF4462">
        <w:t>listed on the ARTG</w:t>
      </w:r>
      <w:r w:rsidR="008C619A">
        <w:t>.</w:t>
      </w:r>
      <w:r w:rsidR="0050426A">
        <w:t xml:space="preserve"> </w:t>
      </w:r>
    </w:p>
    <w:p w14:paraId="70C0B25B" w14:textId="7ACCF2BE" w:rsidR="0099569F" w:rsidRDefault="0050426A" w:rsidP="00F45C1A">
      <w:r>
        <w:t>The applicant has not lodged an</w:t>
      </w:r>
      <w:r w:rsidR="00AD789E">
        <w:t xml:space="preserve"> application to re-instate the device on the PL</w:t>
      </w:r>
      <w:r>
        <w:t>; t</w:t>
      </w:r>
      <w:r w:rsidR="00F45C1A">
        <w:t>he application state</w:t>
      </w:r>
      <w:r w:rsidR="00792CDC">
        <w:t>d</w:t>
      </w:r>
      <w:r w:rsidR="00F45C1A">
        <w:t xml:space="preserve"> </w:t>
      </w:r>
      <w:r w:rsidR="00AA2617">
        <w:t xml:space="preserve">that ‘should </w:t>
      </w:r>
      <w:r w:rsidR="00F45C1A">
        <w:t>the</w:t>
      </w:r>
      <w:r w:rsidR="00AA2617">
        <w:t xml:space="preserve"> </w:t>
      </w:r>
      <w:r w:rsidR="00F45C1A">
        <w:t>procedure be included on the MBS and the implant subsequently included on the Prostheses List, it</w:t>
      </w:r>
      <w:r w:rsidR="00AA2617">
        <w:t xml:space="preserve"> </w:t>
      </w:r>
      <w:r w:rsidR="00F45C1A">
        <w:t>will become more accessible for patients with private health insuranc</w:t>
      </w:r>
      <w:r w:rsidR="00AA2617">
        <w:t>e.’</w:t>
      </w:r>
      <w:r w:rsidR="00D40FC0">
        <w:t xml:space="preserve"> </w:t>
      </w:r>
    </w:p>
    <w:p w14:paraId="70AFF718" w14:textId="06945D2D" w:rsidR="003B4F19" w:rsidRPr="00154A13" w:rsidRDefault="007046DE" w:rsidP="00E052A2">
      <w:pPr>
        <w:rPr>
          <w:rFonts w:eastAsiaTheme="minorHAnsi" w:cstheme="minorBidi"/>
        </w:rPr>
      </w:pPr>
      <w:r>
        <w:t xml:space="preserve">Recent </w:t>
      </w:r>
      <w:r w:rsidR="00817FB9">
        <w:t>reform activities</w:t>
      </w:r>
      <w:r w:rsidR="00B968DF">
        <w:t xml:space="preserve"> for Part B of the PL</w:t>
      </w:r>
      <w:r w:rsidR="00817FB9">
        <w:t xml:space="preserve"> have </w:t>
      </w:r>
      <w:r w:rsidR="00207029">
        <w:t xml:space="preserve">proposed </w:t>
      </w:r>
      <w:r w:rsidR="00E20649">
        <w:t xml:space="preserve">that </w:t>
      </w:r>
      <w:r w:rsidR="00A54A91">
        <w:t>items</w:t>
      </w:r>
      <w:r w:rsidR="00725003" w:rsidRPr="00E20649">
        <w:t xml:space="preserve"> involving autologous tissues should not be listed</w:t>
      </w:r>
      <w:r w:rsidR="00A54A91">
        <w:t xml:space="preserve">, </w:t>
      </w:r>
      <w:r w:rsidR="00725003" w:rsidRPr="00E20649">
        <w:t>based on the view that such products represent a therapeutic process rather than a manufacturing one</w:t>
      </w:r>
      <w:r w:rsidR="002241AE">
        <w:t>.</w:t>
      </w:r>
      <w:r>
        <w:rPr>
          <w:rStyle w:val="FootnoteReference"/>
        </w:rPr>
        <w:footnoteReference w:id="22"/>
      </w:r>
      <w:r w:rsidR="00780ACF">
        <w:t xml:space="preserve"> Prior </w:t>
      </w:r>
      <w:r w:rsidR="005B65D4">
        <w:t xml:space="preserve">and current PL Guidance material does not mention autologous tissues. </w:t>
      </w:r>
      <w:r w:rsidR="0007336E">
        <w:t>Only three items are currently listed on Part B for autologous tissue items; two associated with services for skull caps (</w:t>
      </w:r>
      <w:r w:rsidR="00776E06">
        <w:t xml:space="preserve">Billing Code </w:t>
      </w:r>
      <w:r w:rsidR="0007336E" w:rsidRPr="002F00F9">
        <w:t>MVS23</w:t>
      </w:r>
      <w:r w:rsidR="0007336E">
        <w:t xml:space="preserve">; </w:t>
      </w:r>
      <w:r w:rsidR="0007336E" w:rsidRPr="00E543B1">
        <w:t>RNB02</w:t>
      </w:r>
      <w:r w:rsidR="0007336E">
        <w:t>), and one for ‘</w:t>
      </w:r>
      <w:r w:rsidR="0007336E" w:rsidRPr="00CE3DFF">
        <w:t>Autologous Bone (Not Processed)</w:t>
      </w:r>
      <w:r w:rsidR="0007336E">
        <w:t xml:space="preserve"> (</w:t>
      </w:r>
      <w:r w:rsidR="008E676F">
        <w:t xml:space="preserve">Billing Code </w:t>
      </w:r>
      <w:r w:rsidR="0007336E" w:rsidRPr="00BE6ACD">
        <w:t>QBB60</w:t>
      </w:r>
      <w:r w:rsidR="0007336E">
        <w:t xml:space="preserve">)’. </w:t>
      </w:r>
      <w:r w:rsidR="00DE01DD">
        <w:t>An</w:t>
      </w:r>
      <w:r w:rsidR="0007336E">
        <w:t>y</w:t>
      </w:r>
      <w:r w:rsidR="00DE01DD">
        <w:t xml:space="preserve"> future applications for inclusion of</w:t>
      </w:r>
      <w:r w:rsidR="0007336E">
        <w:t xml:space="preserve"> OrthoACI on</w:t>
      </w:r>
      <w:r w:rsidR="00DE01DD">
        <w:t xml:space="preserve"> Part B o</w:t>
      </w:r>
      <w:r w:rsidR="00AE7ED7">
        <w:t>f</w:t>
      </w:r>
      <w:r w:rsidR="00DE01DD">
        <w:t xml:space="preserve"> the PL would require justification </w:t>
      </w:r>
      <w:r w:rsidR="00A92360">
        <w:t>that</w:t>
      </w:r>
      <w:r w:rsidR="00DE01DD">
        <w:t xml:space="preserve"> the </w:t>
      </w:r>
      <w:r w:rsidR="00A92360">
        <w:t>price</w:t>
      </w:r>
      <w:r w:rsidR="00DE01DD">
        <w:t xml:space="preserve"> of the service reflect</w:t>
      </w:r>
      <w:r w:rsidR="00A92360">
        <w:t>s</w:t>
      </w:r>
      <w:r w:rsidR="00DE01DD">
        <w:t xml:space="preserve"> cost</w:t>
      </w:r>
      <w:r w:rsidR="00470A02">
        <w:t xml:space="preserve"> </w:t>
      </w:r>
      <w:r w:rsidR="00DE01DD">
        <w:t xml:space="preserve">recovery </w:t>
      </w:r>
      <w:r w:rsidR="0002174A">
        <w:t>in order to comply with the Human Tissue Act</w:t>
      </w:r>
      <w:r w:rsidR="00AD685A">
        <w:t xml:space="preserve">, which </w:t>
      </w:r>
      <w:r w:rsidR="0002174A">
        <w:t xml:space="preserve">precludes </w:t>
      </w:r>
      <w:r w:rsidR="00205AC3">
        <w:t>profit from trade in human tissue.</w:t>
      </w:r>
    </w:p>
    <w:p w14:paraId="6399C324" w14:textId="0CC83D8F" w:rsidR="00352C40" w:rsidRDefault="007046DE" w:rsidP="00352C40">
      <w:pPr>
        <w:pStyle w:val="Heading3"/>
      </w:pPr>
      <w:r>
        <w:lastRenderedPageBreak/>
        <w:t xml:space="preserve">Costs of </w:t>
      </w:r>
      <w:r w:rsidR="00725003">
        <w:t xml:space="preserve">OrthoACI and </w:t>
      </w:r>
      <w:r>
        <w:t>associated materials</w:t>
      </w:r>
    </w:p>
    <w:p w14:paraId="1EB7F59A" w14:textId="6210BB19" w:rsidR="008D29EC" w:rsidRDefault="007046DE" w:rsidP="00AD789E">
      <w:r>
        <w:t xml:space="preserve">The costs associated </w:t>
      </w:r>
      <w:r w:rsidR="007231D1">
        <w:t xml:space="preserve">with </w:t>
      </w:r>
      <w:r>
        <w:t xml:space="preserve">the chondrocyte expansion service and associated materials for implantation procedure are listed in </w:t>
      </w:r>
      <w:r>
        <w:fldChar w:fldCharType="begin"/>
      </w:r>
      <w:r>
        <w:instrText xml:space="preserve"> REF _Ref160836519 \h </w:instrText>
      </w:r>
      <w:r>
        <w:fldChar w:fldCharType="separate"/>
      </w:r>
      <w:r w:rsidR="00E602A3">
        <w:t xml:space="preserve">Table </w:t>
      </w:r>
      <w:r w:rsidR="00E602A3">
        <w:rPr>
          <w:noProof/>
        </w:rPr>
        <w:t>13</w:t>
      </w:r>
      <w:r>
        <w:fldChar w:fldCharType="end"/>
      </w:r>
      <w:r w:rsidR="00EB52B3">
        <w:t>.</w:t>
      </w:r>
      <w:r w:rsidR="00603B95">
        <w:t xml:space="preserve"> </w:t>
      </w:r>
      <w:r w:rsidR="00EB52B3">
        <w:t>OrthoACI is not</w:t>
      </w:r>
      <w:r w:rsidR="00603B95">
        <w:t xml:space="preserve"> currently listed on the PL</w:t>
      </w:r>
      <w:r>
        <w:t xml:space="preserve">. </w:t>
      </w:r>
      <w:r w:rsidR="00AD789E">
        <w:t>The</w:t>
      </w:r>
      <w:r w:rsidR="00AD789E" w:rsidRPr="00786668">
        <w:t xml:space="preserve"> </w:t>
      </w:r>
      <w:r w:rsidR="00AD789E">
        <w:t>collagen matrix</w:t>
      </w:r>
      <w:r w:rsidR="00AD789E" w:rsidRPr="0042003E">
        <w:t xml:space="preserve"> </w:t>
      </w:r>
      <w:r w:rsidR="00AD789E">
        <w:t xml:space="preserve">currently used to contain the expanded chondrocytes is </w:t>
      </w:r>
      <w:r w:rsidR="00AD789E" w:rsidRPr="003E638A">
        <w:t>Chondr</w:t>
      </w:r>
      <w:r w:rsidR="008C619A">
        <w:t>o</w:t>
      </w:r>
      <w:r w:rsidR="00AD789E" w:rsidRPr="003E638A">
        <w:t xml:space="preserve"> Gid</w:t>
      </w:r>
      <w:r w:rsidR="00AD789E">
        <w:t xml:space="preserve">e </w:t>
      </w:r>
      <w:r w:rsidR="00AD789E" w:rsidRPr="00C93528">
        <w:t>- Orthopaedic cartilage repair membrane</w:t>
      </w:r>
      <w:r w:rsidR="00AD789E">
        <w:t xml:space="preserve"> (</w:t>
      </w:r>
      <w:r w:rsidR="00AD789E" w:rsidRPr="003E638A">
        <w:t>ARTG 146887</w:t>
      </w:r>
      <w:r w:rsidR="00AD789E">
        <w:t xml:space="preserve">; </w:t>
      </w:r>
      <w:r w:rsidR="00AD789E" w:rsidRPr="003D4060">
        <w:t>Geistlich Pharma Australia Pty Lt</w:t>
      </w:r>
      <w:r w:rsidR="00AD789E">
        <w:t>d), although the applica</w:t>
      </w:r>
      <w:r w:rsidR="00C70958">
        <w:t>tion</w:t>
      </w:r>
      <w:r w:rsidR="00AD789E">
        <w:t xml:space="preserve"> note</w:t>
      </w:r>
      <w:r w:rsidR="00C70958">
        <w:t>d</w:t>
      </w:r>
      <w:r w:rsidR="00AD789E">
        <w:t xml:space="preserve"> any resorbable collagen membrane approved for use in cartilage repair may be used. </w:t>
      </w:r>
      <w:r w:rsidR="001D53D7">
        <w:t>Chondro Gide is not listed on the PL.</w:t>
      </w:r>
    </w:p>
    <w:p w14:paraId="323D9E10" w14:textId="581541C1" w:rsidR="00751836" w:rsidRPr="00154A13" w:rsidRDefault="007046DE" w:rsidP="00751836">
      <w:pPr>
        <w:rPr>
          <w:lang w:val="en-GB" w:eastAsia="ja-JP"/>
        </w:rPr>
      </w:pPr>
      <w:r>
        <w:t>The matrix is secured to the tissue around the lesion</w:t>
      </w:r>
      <w:r w:rsidR="007C1494">
        <w:t xml:space="preserve"> </w:t>
      </w:r>
      <w:r>
        <w:t xml:space="preserve">with a fibrin glue. The application </w:t>
      </w:r>
      <w:r w:rsidR="000560FC">
        <w:t xml:space="preserve">did </w:t>
      </w:r>
      <w:r>
        <w:t xml:space="preserve">not specify a particular fibrin glue product, but the DAP for application 1273 for </w:t>
      </w:r>
      <w:r w:rsidR="00752EAD">
        <w:t xml:space="preserve">matrix-assisted </w:t>
      </w:r>
      <w:r>
        <w:t xml:space="preserve">ACI in 2012 nominated Tisseel </w:t>
      </w:r>
      <w:r w:rsidRPr="00D02C4E">
        <w:t>VH S/D (frozen) fibrin sealant syringe (ARTG number 147141</w:t>
      </w:r>
      <w:r>
        <w:t xml:space="preserve">; Baxter </w:t>
      </w:r>
      <w:r w:rsidRPr="00E82499">
        <w:t>Healthcare</w:t>
      </w:r>
      <w:r>
        <w:t xml:space="preserve"> Pty Ltd</w:t>
      </w:r>
      <w:r w:rsidRPr="00D02C4E">
        <w:t>)</w:t>
      </w:r>
      <w:r>
        <w:t xml:space="preserve"> as a related device. </w:t>
      </w:r>
      <w:r w:rsidR="008676BA">
        <w:t>As part of the PL reforms, t</w:t>
      </w:r>
      <w:r w:rsidR="007E06F3">
        <w:t>his product</w:t>
      </w:r>
      <w:r w:rsidR="00C27263">
        <w:t xml:space="preserve"> </w:t>
      </w:r>
      <w:r w:rsidR="008676BA">
        <w:t xml:space="preserve">was </w:t>
      </w:r>
      <w:r w:rsidR="00E404A8">
        <w:t>moved to Part D</w:t>
      </w:r>
      <w:r w:rsidR="005D613B">
        <w:t xml:space="preserve"> of</w:t>
      </w:r>
      <w:r w:rsidR="008676BA">
        <w:t xml:space="preserve"> the PL on 1 July 2023</w:t>
      </w:r>
      <w:r w:rsidR="006E4D17">
        <w:t>,</w:t>
      </w:r>
      <w:r w:rsidR="008676BA">
        <w:t xml:space="preserve"> along with </w:t>
      </w:r>
      <w:r w:rsidR="002735E1">
        <w:t>a number of</w:t>
      </w:r>
      <w:r w:rsidR="008676BA">
        <w:t xml:space="preserve"> other</w:t>
      </w:r>
      <w:r w:rsidR="002735E1">
        <w:t xml:space="preserve"> </w:t>
      </w:r>
      <w:r w:rsidR="002735E1" w:rsidRPr="00AD01EB">
        <w:t>‘General Use Items’</w:t>
      </w:r>
      <w:r w:rsidR="002735E1">
        <w:t xml:space="preserve"> </w:t>
      </w:r>
      <w:r w:rsidR="002735E1" w:rsidRPr="00AD01EB">
        <w:t>used in a broad range of surgeries</w:t>
      </w:r>
      <w:r w:rsidR="00F90AD5">
        <w:t xml:space="preserve">. </w:t>
      </w:r>
    </w:p>
    <w:p w14:paraId="76CA9B23" w14:textId="0314D53B" w:rsidR="00D75549" w:rsidRDefault="007046DE" w:rsidP="00790F6D">
      <w:pPr>
        <w:pStyle w:val="Caption"/>
      </w:pPr>
      <w:bookmarkStart w:id="22" w:name="_Ref160836519"/>
      <w:r>
        <w:t xml:space="preserve">Table </w:t>
      </w:r>
      <w:r>
        <w:fldChar w:fldCharType="begin"/>
      </w:r>
      <w:r>
        <w:instrText xml:space="preserve"> SEQ Table \* ARABIC </w:instrText>
      </w:r>
      <w:r>
        <w:fldChar w:fldCharType="separate"/>
      </w:r>
      <w:r w:rsidR="00E602A3">
        <w:rPr>
          <w:noProof/>
        </w:rPr>
        <w:t>13</w:t>
      </w:r>
      <w:r>
        <w:fldChar w:fldCharType="end"/>
      </w:r>
      <w:bookmarkEnd w:id="22"/>
      <w:r>
        <w:tab/>
        <w:t xml:space="preserve">Costs of chondrocyte expansion service and associated materials for </w:t>
      </w:r>
      <w:r w:rsidR="00205031">
        <w:t xml:space="preserve">implantation </w:t>
      </w:r>
      <w:r>
        <w:t>procedure</w:t>
      </w:r>
    </w:p>
    <w:tbl>
      <w:tblPr>
        <w:tblStyle w:val="TableGrid"/>
        <w:tblW w:w="5000" w:type="pct"/>
        <w:tblLook w:val="04A0" w:firstRow="1" w:lastRow="0" w:firstColumn="1" w:lastColumn="0" w:noHBand="0" w:noVBand="1"/>
        <w:tblCaption w:val="Table 13 Costs of chondrocyte expansion service and associated materials for implantation procedure"/>
        <w:tblDescription w:val="Table listing cost of OrthoACI, the collagen matrix, and a historical cost for fibrin glue from 2012."/>
      </w:tblPr>
      <w:tblGrid>
        <w:gridCol w:w="3741"/>
        <w:gridCol w:w="1053"/>
        <w:gridCol w:w="1178"/>
        <w:gridCol w:w="2330"/>
        <w:gridCol w:w="1269"/>
      </w:tblGrid>
      <w:tr w:rsidR="007A68DD" w14:paraId="08D01A3F" w14:textId="1AA7B5A8" w:rsidTr="000911EA">
        <w:trPr>
          <w:tblHeader/>
        </w:trPr>
        <w:tc>
          <w:tcPr>
            <w:tcW w:w="1997" w:type="pct"/>
            <w:tcBorders>
              <w:bottom w:val="single" w:sz="4" w:space="0" w:color="auto"/>
            </w:tcBorders>
          </w:tcPr>
          <w:p w14:paraId="4F21EDA6" w14:textId="62EF2BDF" w:rsidR="00D26408" w:rsidRDefault="007046DE" w:rsidP="00B528F8">
            <w:pPr>
              <w:pStyle w:val="TableHeading"/>
            </w:pPr>
            <w:r>
              <w:t>Product</w:t>
            </w:r>
          </w:p>
        </w:tc>
        <w:tc>
          <w:tcPr>
            <w:tcW w:w="593" w:type="pct"/>
            <w:tcBorders>
              <w:bottom w:val="single" w:sz="4" w:space="0" w:color="auto"/>
            </w:tcBorders>
          </w:tcPr>
          <w:p w14:paraId="63A6E0A1" w14:textId="60F43CA3" w:rsidR="00D26408" w:rsidRDefault="007046DE" w:rsidP="00B528F8">
            <w:pPr>
              <w:pStyle w:val="TableHeading"/>
            </w:pPr>
            <w:r>
              <w:t xml:space="preserve">ARTG </w:t>
            </w:r>
            <w:r w:rsidR="003D6C06">
              <w:t>No.</w:t>
            </w:r>
          </w:p>
        </w:tc>
        <w:tc>
          <w:tcPr>
            <w:tcW w:w="444" w:type="pct"/>
            <w:tcBorders>
              <w:bottom w:val="single" w:sz="4" w:space="0" w:color="auto"/>
            </w:tcBorders>
          </w:tcPr>
          <w:p w14:paraId="14046CD6" w14:textId="34FC5A9E" w:rsidR="00D26408" w:rsidRDefault="007046DE" w:rsidP="00B528F8">
            <w:pPr>
              <w:pStyle w:val="TableHeading"/>
            </w:pPr>
            <w:r>
              <w:t>Cost</w:t>
            </w:r>
          </w:p>
        </w:tc>
        <w:tc>
          <w:tcPr>
            <w:tcW w:w="1260" w:type="pct"/>
            <w:tcBorders>
              <w:bottom w:val="single" w:sz="4" w:space="0" w:color="auto"/>
            </w:tcBorders>
          </w:tcPr>
          <w:p w14:paraId="6183D446" w14:textId="58626125" w:rsidR="00D26408" w:rsidRDefault="007046DE" w:rsidP="00B528F8">
            <w:pPr>
              <w:pStyle w:val="TableHeading"/>
            </w:pPr>
            <w:r>
              <w:t>Listed on PL?</w:t>
            </w:r>
          </w:p>
        </w:tc>
        <w:tc>
          <w:tcPr>
            <w:tcW w:w="707" w:type="pct"/>
            <w:tcBorders>
              <w:bottom w:val="single" w:sz="4" w:space="0" w:color="auto"/>
            </w:tcBorders>
          </w:tcPr>
          <w:p w14:paraId="2EF0AEB2" w14:textId="61174E09" w:rsidR="00D26408" w:rsidRDefault="007046DE" w:rsidP="00B528F8">
            <w:pPr>
              <w:pStyle w:val="TableHeading"/>
            </w:pPr>
            <w:r>
              <w:t>PL a</w:t>
            </w:r>
            <w:r w:rsidR="00BE6B2F">
              <w:t>pplication pending</w:t>
            </w:r>
            <w:r w:rsidR="00A43B36">
              <w:t>?</w:t>
            </w:r>
          </w:p>
        </w:tc>
      </w:tr>
      <w:tr w:rsidR="007A68DD" w14:paraId="2BF16E74" w14:textId="39AB16D4" w:rsidTr="00CE4A15">
        <w:tc>
          <w:tcPr>
            <w:tcW w:w="1997" w:type="pct"/>
            <w:tcBorders>
              <w:right w:val="nil"/>
            </w:tcBorders>
          </w:tcPr>
          <w:p w14:paraId="3137BD3E" w14:textId="6DE0A4FD" w:rsidR="00D26408" w:rsidRPr="006935EB" w:rsidRDefault="007046DE" w:rsidP="006935EB">
            <w:pPr>
              <w:pStyle w:val="TableText0"/>
              <w:rPr>
                <w:b/>
                <w:bCs/>
              </w:rPr>
            </w:pPr>
            <w:r w:rsidRPr="006935EB">
              <w:rPr>
                <w:b/>
                <w:bCs/>
              </w:rPr>
              <w:t>Chondrocyte expansion service</w:t>
            </w:r>
          </w:p>
        </w:tc>
        <w:tc>
          <w:tcPr>
            <w:tcW w:w="593" w:type="pct"/>
            <w:tcBorders>
              <w:left w:val="nil"/>
              <w:right w:val="nil"/>
            </w:tcBorders>
          </w:tcPr>
          <w:p w14:paraId="4263B8AF" w14:textId="77777777" w:rsidR="00D26408" w:rsidRPr="006935EB" w:rsidRDefault="00D26408" w:rsidP="006935EB">
            <w:pPr>
              <w:pStyle w:val="TableText0"/>
              <w:rPr>
                <w:b/>
                <w:bCs/>
              </w:rPr>
            </w:pPr>
          </w:p>
        </w:tc>
        <w:tc>
          <w:tcPr>
            <w:tcW w:w="444" w:type="pct"/>
            <w:tcBorders>
              <w:left w:val="nil"/>
              <w:right w:val="nil"/>
            </w:tcBorders>
          </w:tcPr>
          <w:p w14:paraId="06B0DE28" w14:textId="77777777" w:rsidR="00D26408" w:rsidRPr="006935EB" w:rsidRDefault="00D26408" w:rsidP="006935EB">
            <w:pPr>
              <w:pStyle w:val="TableText0"/>
              <w:rPr>
                <w:b/>
                <w:bCs/>
              </w:rPr>
            </w:pPr>
          </w:p>
        </w:tc>
        <w:tc>
          <w:tcPr>
            <w:tcW w:w="1260" w:type="pct"/>
            <w:tcBorders>
              <w:left w:val="nil"/>
              <w:right w:val="nil"/>
            </w:tcBorders>
          </w:tcPr>
          <w:p w14:paraId="4A474A12" w14:textId="77777777" w:rsidR="00D26408" w:rsidRPr="006935EB" w:rsidRDefault="00D26408" w:rsidP="006935EB">
            <w:pPr>
              <w:pStyle w:val="TableText0"/>
              <w:rPr>
                <w:b/>
                <w:bCs/>
              </w:rPr>
            </w:pPr>
          </w:p>
        </w:tc>
        <w:tc>
          <w:tcPr>
            <w:tcW w:w="707" w:type="pct"/>
            <w:tcBorders>
              <w:left w:val="nil"/>
            </w:tcBorders>
          </w:tcPr>
          <w:p w14:paraId="739788C5" w14:textId="77777777" w:rsidR="00D26408" w:rsidRPr="006935EB" w:rsidRDefault="00D26408" w:rsidP="006935EB">
            <w:pPr>
              <w:pStyle w:val="TableText0"/>
              <w:rPr>
                <w:b/>
                <w:bCs/>
              </w:rPr>
            </w:pPr>
          </w:p>
        </w:tc>
      </w:tr>
      <w:tr w:rsidR="007A68DD" w14:paraId="2B7BD2AA" w14:textId="23512D48" w:rsidTr="00CE4A15">
        <w:tc>
          <w:tcPr>
            <w:tcW w:w="1997" w:type="pct"/>
          </w:tcPr>
          <w:p w14:paraId="328BA7D2" w14:textId="3E6CDDB7" w:rsidR="00D26408" w:rsidRPr="0036050C" w:rsidRDefault="007046DE" w:rsidP="0036050C">
            <w:pPr>
              <w:pStyle w:val="TableText0"/>
            </w:pPr>
            <w:r w:rsidRPr="0036050C">
              <w:t>Chondrocytes - T - Ortho-ACI</w:t>
            </w:r>
          </w:p>
        </w:tc>
        <w:tc>
          <w:tcPr>
            <w:tcW w:w="593" w:type="pct"/>
          </w:tcPr>
          <w:p w14:paraId="32B20153" w14:textId="591F82DA" w:rsidR="00D26408" w:rsidRDefault="007046DE" w:rsidP="00B528F8">
            <w:pPr>
              <w:pStyle w:val="TableText0"/>
            </w:pPr>
            <w:r w:rsidRPr="009943B5">
              <w:t>289402</w:t>
            </w:r>
          </w:p>
        </w:tc>
        <w:tc>
          <w:tcPr>
            <w:tcW w:w="444" w:type="pct"/>
          </w:tcPr>
          <w:p w14:paraId="71E9A56A" w14:textId="4BCED260" w:rsidR="00D26408" w:rsidRPr="00716608" w:rsidRDefault="008F745D" w:rsidP="00B528F8">
            <w:pPr>
              <w:pStyle w:val="TableText0"/>
              <w:rPr>
                <w:vertAlign w:val="superscript"/>
              </w:rPr>
            </w:pPr>
            <w:r>
              <w:t xml:space="preserve">$ </w:t>
            </w:r>
            <w:r w:rsidR="007A68DD">
              <w:t>REDACTED</w:t>
            </w:r>
            <w:r w:rsidR="004D7B37">
              <w:rPr>
                <w:vertAlign w:val="superscript"/>
              </w:rPr>
              <w:t>a</w:t>
            </w:r>
          </w:p>
        </w:tc>
        <w:tc>
          <w:tcPr>
            <w:tcW w:w="1260" w:type="pct"/>
            <w:tcBorders>
              <w:bottom w:val="single" w:sz="4" w:space="0" w:color="auto"/>
            </w:tcBorders>
          </w:tcPr>
          <w:p w14:paraId="405B114C" w14:textId="5BF96909" w:rsidR="00D26408" w:rsidRDefault="007046DE" w:rsidP="00B528F8">
            <w:pPr>
              <w:pStyle w:val="TableText0"/>
            </w:pPr>
            <w:r>
              <w:t>No</w:t>
            </w:r>
          </w:p>
        </w:tc>
        <w:tc>
          <w:tcPr>
            <w:tcW w:w="707" w:type="pct"/>
            <w:tcBorders>
              <w:bottom w:val="single" w:sz="4" w:space="0" w:color="auto"/>
            </w:tcBorders>
          </w:tcPr>
          <w:p w14:paraId="7C42D761" w14:textId="78320A1D" w:rsidR="00D26408" w:rsidRDefault="007046DE" w:rsidP="00B528F8">
            <w:pPr>
              <w:pStyle w:val="TableText0"/>
            </w:pPr>
            <w:r>
              <w:t>No</w:t>
            </w:r>
          </w:p>
        </w:tc>
      </w:tr>
      <w:tr w:rsidR="007A68DD" w14:paraId="40C5EB99" w14:textId="1BAB1ECB" w:rsidTr="00CE4A15">
        <w:tc>
          <w:tcPr>
            <w:tcW w:w="1997" w:type="pct"/>
            <w:tcBorders>
              <w:right w:val="nil"/>
            </w:tcBorders>
          </w:tcPr>
          <w:p w14:paraId="1C43B23C" w14:textId="2F41588C" w:rsidR="00D26408" w:rsidRPr="006935EB" w:rsidRDefault="007046DE" w:rsidP="00BD6E6C">
            <w:pPr>
              <w:pStyle w:val="TableText0"/>
              <w:rPr>
                <w:b/>
                <w:bCs/>
              </w:rPr>
            </w:pPr>
            <w:r>
              <w:rPr>
                <w:b/>
                <w:bCs/>
              </w:rPr>
              <w:t>Collagen matrix</w:t>
            </w:r>
          </w:p>
        </w:tc>
        <w:tc>
          <w:tcPr>
            <w:tcW w:w="593" w:type="pct"/>
            <w:tcBorders>
              <w:left w:val="nil"/>
              <w:right w:val="nil"/>
            </w:tcBorders>
          </w:tcPr>
          <w:p w14:paraId="6C195846" w14:textId="77777777" w:rsidR="00D26408" w:rsidRPr="006935EB" w:rsidRDefault="00D26408" w:rsidP="00BD6E6C">
            <w:pPr>
              <w:pStyle w:val="TableText0"/>
              <w:rPr>
                <w:b/>
                <w:bCs/>
              </w:rPr>
            </w:pPr>
          </w:p>
        </w:tc>
        <w:tc>
          <w:tcPr>
            <w:tcW w:w="444" w:type="pct"/>
            <w:tcBorders>
              <w:left w:val="nil"/>
              <w:right w:val="nil"/>
            </w:tcBorders>
          </w:tcPr>
          <w:p w14:paraId="235C6347" w14:textId="77777777" w:rsidR="00D26408" w:rsidRPr="006935EB" w:rsidRDefault="00D26408" w:rsidP="00BD6E6C">
            <w:pPr>
              <w:pStyle w:val="TableText0"/>
              <w:rPr>
                <w:b/>
                <w:bCs/>
              </w:rPr>
            </w:pPr>
          </w:p>
        </w:tc>
        <w:tc>
          <w:tcPr>
            <w:tcW w:w="1260" w:type="pct"/>
            <w:tcBorders>
              <w:left w:val="nil"/>
              <w:right w:val="nil"/>
            </w:tcBorders>
          </w:tcPr>
          <w:p w14:paraId="2A59595C" w14:textId="77777777" w:rsidR="00D26408" w:rsidRPr="006935EB" w:rsidRDefault="00D26408" w:rsidP="00BD6E6C">
            <w:pPr>
              <w:pStyle w:val="TableText0"/>
              <w:rPr>
                <w:b/>
                <w:bCs/>
              </w:rPr>
            </w:pPr>
          </w:p>
        </w:tc>
        <w:tc>
          <w:tcPr>
            <w:tcW w:w="707" w:type="pct"/>
            <w:tcBorders>
              <w:left w:val="nil"/>
            </w:tcBorders>
          </w:tcPr>
          <w:p w14:paraId="0EC920A6" w14:textId="77777777" w:rsidR="00D26408" w:rsidRPr="006935EB" w:rsidRDefault="00D26408" w:rsidP="00BD6E6C">
            <w:pPr>
              <w:pStyle w:val="TableText0"/>
              <w:rPr>
                <w:b/>
                <w:bCs/>
              </w:rPr>
            </w:pPr>
          </w:p>
        </w:tc>
      </w:tr>
      <w:tr w:rsidR="007A68DD" w14:paraId="7ADAE951" w14:textId="5D4487ED" w:rsidTr="00CE4A15">
        <w:tc>
          <w:tcPr>
            <w:tcW w:w="1997" w:type="pct"/>
          </w:tcPr>
          <w:p w14:paraId="484D80AD" w14:textId="1B6D0D32" w:rsidR="00D26408" w:rsidRDefault="007046DE" w:rsidP="00B528F8">
            <w:pPr>
              <w:pStyle w:val="TableText0"/>
            </w:pPr>
            <w:r w:rsidRPr="0036050C">
              <w:t>Chondro Gide - Orthopaedic cartilage repair membrane</w:t>
            </w:r>
          </w:p>
        </w:tc>
        <w:tc>
          <w:tcPr>
            <w:tcW w:w="593" w:type="pct"/>
          </w:tcPr>
          <w:p w14:paraId="604E3A2C" w14:textId="5B7FEE3F" w:rsidR="00D26408" w:rsidRDefault="007046DE" w:rsidP="00B528F8">
            <w:pPr>
              <w:pStyle w:val="TableText0"/>
            </w:pPr>
            <w:r w:rsidRPr="00103EB5">
              <w:t>146887</w:t>
            </w:r>
          </w:p>
        </w:tc>
        <w:tc>
          <w:tcPr>
            <w:tcW w:w="444" w:type="pct"/>
          </w:tcPr>
          <w:p w14:paraId="341A9535" w14:textId="2085E633" w:rsidR="00D26408" w:rsidRDefault="007046DE" w:rsidP="00B528F8">
            <w:pPr>
              <w:pStyle w:val="TableText0"/>
            </w:pPr>
            <w:r>
              <w:t>$880</w:t>
            </w:r>
            <w:r w:rsidR="00131F15" w:rsidRPr="00131F15">
              <w:rPr>
                <w:vertAlign w:val="superscript"/>
              </w:rPr>
              <w:t>a</w:t>
            </w:r>
          </w:p>
        </w:tc>
        <w:tc>
          <w:tcPr>
            <w:tcW w:w="1260" w:type="pct"/>
            <w:tcBorders>
              <w:bottom w:val="single" w:sz="4" w:space="0" w:color="auto"/>
            </w:tcBorders>
          </w:tcPr>
          <w:p w14:paraId="5F4967F9" w14:textId="429490A0" w:rsidR="00D26408" w:rsidRDefault="007046DE" w:rsidP="00B528F8">
            <w:pPr>
              <w:pStyle w:val="TableText0"/>
            </w:pPr>
            <w:r>
              <w:t>No</w:t>
            </w:r>
          </w:p>
        </w:tc>
        <w:tc>
          <w:tcPr>
            <w:tcW w:w="707" w:type="pct"/>
            <w:tcBorders>
              <w:bottom w:val="single" w:sz="4" w:space="0" w:color="auto"/>
            </w:tcBorders>
          </w:tcPr>
          <w:p w14:paraId="291F6A4A" w14:textId="0CA0964D" w:rsidR="00D26408" w:rsidRDefault="007046DE" w:rsidP="00B528F8">
            <w:pPr>
              <w:pStyle w:val="TableText0"/>
            </w:pPr>
            <w:r>
              <w:t>No</w:t>
            </w:r>
          </w:p>
        </w:tc>
      </w:tr>
      <w:tr w:rsidR="007A68DD" w14:paraId="7C9EAD46" w14:textId="26F36BF0" w:rsidTr="00CE4A15">
        <w:tc>
          <w:tcPr>
            <w:tcW w:w="1997" w:type="pct"/>
            <w:tcBorders>
              <w:right w:val="nil"/>
            </w:tcBorders>
          </w:tcPr>
          <w:p w14:paraId="1722B8AD" w14:textId="45CBCFD7" w:rsidR="00D26408" w:rsidRPr="006935EB" w:rsidRDefault="007046DE" w:rsidP="000911EA">
            <w:pPr>
              <w:pStyle w:val="TableText0"/>
              <w:keepNext/>
              <w:rPr>
                <w:b/>
                <w:bCs/>
              </w:rPr>
            </w:pPr>
            <w:r>
              <w:rPr>
                <w:b/>
                <w:bCs/>
              </w:rPr>
              <w:t>Fibrin glue</w:t>
            </w:r>
          </w:p>
        </w:tc>
        <w:tc>
          <w:tcPr>
            <w:tcW w:w="593" w:type="pct"/>
            <w:tcBorders>
              <w:left w:val="nil"/>
              <w:right w:val="nil"/>
            </w:tcBorders>
          </w:tcPr>
          <w:p w14:paraId="2A138A15" w14:textId="77777777" w:rsidR="00D26408" w:rsidRPr="006935EB" w:rsidRDefault="00D26408" w:rsidP="000911EA">
            <w:pPr>
              <w:pStyle w:val="TableText0"/>
              <w:keepNext/>
              <w:rPr>
                <w:b/>
                <w:bCs/>
              </w:rPr>
            </w:pPr>
          </w:p>
        </w:tc>
        <w:tc>
          <w:tcPr>
            <w:tcW w:w="444" w:type="pct"/>
            <w:tcBorders>
              <w:left w:val="nil"/>
              <w:right w:val="nil"/>
            </w:tcBorders>
          </w:tcPr>
          <w:p w14:paraId="4AA51B2C" w14:textId="77777777" w:rsidR="00D26408" w:rsidRPr="006935EB" w:rsidRDefault="00D26408" w:rsidP="000911EA">
            <w:pPr>
              <w:pStyle w:val="TableText0"/>
              <w:keepNext/>
              <w:rPr>
                <w:b/>
                <w:bCs/>
              </w:rPr>
            </w:pPr>
          </w:p>
        </w:tc>
        <w:tc>
          <w:tcPr>
            <w:tcW w:w="1260" w:type="pct"/>
            <w:tcBorders>
              <w:left w:val="nil"/>
              <w:right w:val="nil"/>
            </w:tcBorders>
          </w:tcPr>
          <w:p w14:paraId="3B105521" w14:textId="77777777" w:rsidR="00D26408" w:rsidRPr="006935EB" w:rsidRDefault="00D26408" w:rsidP="000911EA">
            <w:pPr>
              <w:pStyle w:val="TableText0"/>
              <w:keepNext/>
              <w:rPr>
                <w:b/>
                <w:bCs/>
              </w:rPr>
            </w:pPr>
          </w:p>
        </w:tc>
        <w:tc>
          <w:tcPr>
            <w:tcW w:w="707" w:type="pct"/>
            <w:tcBorders>
              <w:left w:val="nil"/>
            </w:tcBorders>
          </w:tcPr>
          <w:p w14:paraId="6380AF47" w14:textId="77777777" w:rsidR="00D26408" w:rsidRPr="006935EB" w:rsidRDefault="00D26408" w:rsidP="000911EA">
            <w:pPr>
              <w:pStyle w:val="TableText0"/>
              <w:keepNext/>
              <w:rPr>
                <w:b/>
                <w:bCs/>
              </w:rPr>
            </w:pPr>
          </w:p>
        </w:tc>
      </w:tr>
      <w:tr w:rsidR="007A68DD" w14:paraId="4A13FF87" w14:textId="1A0001B6" w:rsidTr="00CE4A15">
        <w:tc>
          <w:tcPr>
            <w:tcW w:w="1997" w:type="pct"/>
          </w:tcPr>
          <w:p w14:paraId="3B35CB2D" w14:textId="5D6B40DE" w:rsidR="00D26408" w:rsidRDefault="007046DE" w:rsidP="000911EA">
            <w:pPr>
              <w:pStyle w:val="TableText0"/>
              <w:keepNext/>
            </w:pPr>
            <w:r w:rsidRPr="00251F68">
              <w:t>TISSEEL VH S/D fibrin sealant syringe</w:t>
            </w:r>
          </w:p>
        </w:tc>
        <w:tc>
          <w:tcPr>
            <w:tcW w:w="593" w:type="pct"/>
          </w:tcPr>
          <w:p w14:paraId="19C055D7" w14:textId="72A6F856" w:rsidR="00D26408" w:rsidRDefault="007046DE" w:rsidP="000911EA">
            <w:pPr>
              <w:pStyle w:val="TableText0"/>
              <w:keepNext/>
            </w:pPr>
            <w:r w:rsidRPr="00D26408">
              <w:t>147141</w:t>
            </w:r>
          </w:p>
        </w:tc>
        <w:tc>
          <w:tcPr>
            <w:tcW w:w="444" w:type="pct"/>
          </w:tcPr>
          <w:p w14:paraId="1D7953D9" w14:textId="77777777" w:rsidR="005C68E2" w:rsidRDefault="007046DE" w:rsidP="000911EA">
            <w:pPr>
              <w:pStyle w:val="TableText0"/>
              <w:keepNext/>
            </w:pPr>
            <w:r w:rsidRPr="007D666B">
              <w:t>$3</w:t>
            </w:r>
            <w:r w:rsidRPr="00154A13">
              <w:t>23</w:t>
            </w:r>
          </w:p>
          <w:p w14:paraId="02A9E071" w14:textId="35644270" w:rsidR="00D26408" w:rsidRDefault="00D26408" w:rsidP="000911EA">
            <w:pPr>
              <w:pStyle w:val="TableText0"/>
              <w:keepNext/>
            </w:pPr>
          </w:p>
        </w:tc>
        <w:tc>
          <w:tcPr>
            <w:tcW w:w="1260" w:type="pct"/>
          </w:tcPr>
          <w:p w14:paraId="7ED20A31" w14:textId="55571F71" w:rsidR="00D26408" w:rsidRDefault="007046DE" w:rsidP="000911EA">
            <w:pPr>
              <w:pStyle w:val="TableText0"/>
              <w:keepNext/>
            </w:pPr>
            <w:r>
              <w:t>BX214</w:t>
            </w:r>
            <w:r w:rsidR="000B6336">
              <w:br/>
              <w:t xml:space="preserve">Currently in </w:t>
            </w:r>
            <w:r w:rsidR="00C10D2B">
              <w:t>Part D</w:t>
            </w:r>
          </w:p>
        </w:tc>
        <w:tc>
          <w:tcPr>
            <w:tcW w:w="707" w:type="pct"/>
          </w:tcPr>
          <w:p w14:paraId="0D4E6BBA" w14:textId="7EB62CA4" w:rsidR="00D26408" w:rsidRDefault="007046DE" w:rsidP="000911EA">
            <w:pPr>
              <w:pStyle w:val="TableText0"/>
              <w:keepNext/>
            </w:pPr>
            <w:r>
              <w:t>N</w:t>
            </w:r>
            <w:r w:rsidR="00765C57">
              <w:t>/A</w:t>
            </w:r>
          </w:p>
        </w:tc>
      </w:tr>
    </w:tbl>
    <w:p w14:paraId="61397B9C" w14:textId="06AD3F00" w:rsidR="000F333D" w:rsidRDefault="007046DE" w:rsidP="004F3D88">
      <w:pPr>
        <w:pStyle w:val="Tablenotes"/>
        <w:spacing w:after="0"/>
      </w:pPr>
      <w:r>
        <w:t xml:space="preserve">ARTG = </w:t>
      </w:r>
      <w:r w:rsidR="00CB2394" w:rsidRPr="00CB2394">
        <w:t>Australian Register of Therapeutic Goods</w:t>
      </w:r>
      <w:r w:rsidR="00163153">
        <w:t xml:space="preserve">; </w:t>
      </w:r>
      <w:r w:rsidR="00BC2A5B">
        <w:t>DAP = Decision Analytic Protocol</w:t>
      </w:r>
      <w:r w:rsidR="00163153">
        <w:t xml:space="preserve">; </w:t>
      </w:r>
      <w:r w:rsidR="00765C57">
        <w:t xml:space="preserve">N/A = not applicable; </w:t>
      </w:r>
      <w:r w:rsidR="00163153">
        <w:t>NR = not reported</w:t>
      </w:r>
      <w:r w:rsidR="00187CFB">
        <w:t>; PL = Prescribed List o</w:t>
      </w:r>
      <w:r w:rsidR="006C0244" w:rsidRPr="006C0244">
        <w:t>f Medical Devices and Human Tissue Products</w:t>
      </w:r>
      <w:r w:rsidR="006C0244">
        <w:t>.</w:t>
      </w:r>
    </w:p>
    <w:p w14:paraId="342C8618" w14:textId="193C003A" w:rsidR="000F333D" w:rsidRDefault="007046DE" w:rsidP="0041556F">
      <w:pPr>
        <w:pStyle w:val="Tablenotes"/>
        <w:spacing w:after="0"/>
      </w:pPr>
      <w:r>
        <w:t xml:space="preserve">a </w:t>
      </w:r>
      <w:r w:rsidR="003D5B29">
        <w:t>Provided by applica</w:t>
      </w:r>
      <w:r w:rsidR="00E90107">
        <w:t>tion.</w:t>
      </w:r>
    </w:p>
    <w:p w14:paraId="2B38DFEB" w14:textId="3C90B949" w:rsidR="0041556F" w:rsidRPr="00D4033C" w:rsidRDefault="007046DE" w:rsidP="0041556F">
      <w:pPr>
        <w:pStyle w:val="Tablenotes"/>
        <w:spacing w:after="240"/>
        <w:jc w:val="left"/>
        <w:rPr>
          <w:color w:val="000000" w:themeColor="text1"/>
        </w:rPr>
      </w:pPr>
      <w:r w:rsidRPr="00D4033C">
        <w:rPr>
          <w:color w:val="000000" w:themeColor="text1"/>
        </w:rPr>
        <w:t xml:space="preserve">Source: Application 1773 and Part D of the Prescribed List of Medical Devices and Human Tissue Products, accessed on 21 March 2024 at </w:t>
      </w:r>
      <w:hyperlink r:id="rId23" w:tooltip="Link to Prescribed List of Medical Devices and Human Tissue Products website" w:history="1">
        <w:r w:rsidRPr="00D4033C">
          <w:rPr>
            <w:rStyle w:val="Hyperlink"/>
            <w:rFonts w:ascii="Arial Narrow" w:hAnsi="Arial Narrow" w:cs="Arial"/>
            <w:color w:val="000000" w:themeColor="text1"/>
          </w:rPr>
          <w:t>https://www.health.gov.au/resources/publications/prescribed-list-of-medical-devices-and-human-tissue-products</w:t>
        </w:r>
      </w:hyperlink>
    </w:p>
    <w:p w14:paraId="1FE5C564" w14:textId="36ADB8B8" w:rsidR="004B0F28" w:rsidRDefault="007046DE" w:rsidP="004B0F28">
      <w:r>
        <w:t xml:space="preserve">As </w:t>
      </w:r>
      <w:r w:rsidR="00205031">
        <w:t xml:space="preserve">the </w:t>
      </w:r>
      <w:r w:rsidR="006C0878">
        <w:t xml:space="preserve">chondrocyte expansion </w:t>
      </w:r>
      <w:r w:rsidR="00205031">
        <w:t xml:space="preserve">service </w:t>
      </w:r>
      <w:r w:rsidR="006C0878">
        <w:t xml:space="preserve">and the </w:t>
      </w:r>
      <w:r w:rsidR="007D2D79">
        <w:t xml:space="preserve">collagen matrix </w:t>
      </w:r>
      <w:r w:rsidR="001F436F">
        <w:t xml:space="preserve">are </w:t>
      </w:r>
      <w:r w:rsidR="00C422C9">
        <w:t xml:space="preserve">not </w:t>
      </w:r>
      <w:r>
        <w:t xml:space="preserve">included on the </w:t>
      </w:r>
      <w:r w:rsidR="007D2D79">
        <w:t xml:space="preserve">PL, </w:t>
      </w:r>
      <w:r w:rsidR="000B5500">
        <w:t>if the</w:t>
      </w:r>
      <w:r w:rsidR="008B0690">
        <w:t xml:space="preserve"> </w:t>
      </w:r>
      <w:r w:rsidR="00200D98">
        <w:t>intervention was</w:t>
      </w:r>
      <w:r w:rsidR="005D24E1">
        <w:t xml:space="preserve"> MBS </w:t>
      </w:r>
      <w:r w:rsidR="001573E7">
        <w:t>listed</w:t>
      </w:r>
      <w:r w:rsidR="00827CF6">
        <w:t xml:space="preserve">, the costs </w:t>
      </w:r>
      <w:r w:rsidR="007C7C00">
        <w:t xml:space="preserve">for the chondrocyte expansion service and the collagen matrix </w:t>
      </w:r>
      <w:r w:rsidR="0028254C">
        <w:t>(i.e. ~$</w:t>
      </w:r>
      <w:r w:rsidR="00077860">
        <w:t xml:space="preserve"> REDACTED</w:t>
      </w:r>
      <w:r w:rsidR="0028254C">
        <w:t>) may be borne as out-of-pockets co</w:t>
      </w:r>
      <w:r w:rsidR="00F176EF">
        <w:t>s</w:t>
      </w:r>
      <w:r w:rsidR="0028254C">
        <w:t>ts by the patient.</w:t>
      </w:r>
    </w:p>
    <w:p w14:paraId="01C226EA" w14:textId="112ADFCE" w:rsidR="00E10A43" w:rsidRDefault="007046DE" w:rsidP="00E10A43">
      <w:r>
        <w:t>The applicant confirmed that, where more than one discreet focal lesion is being treated in the same or contralateral knee, there will be no additional charge for the chondrocyte expansion service. Similarly, treatment for larger lesions will incur the same costs for chondrocyte expansion as small lesions.</w:t>
      </w:r>
      <w:r>
        <w:rPr>
          <w:rStyle w:val="FootnoteReference"/>
        </w:rPr>
        <w:footnoteReference w:id="23"/>
      </w:r>
    </w:p>
    <w:p w14:paraId="276E3E44" w14:textId="20466750" w:rsidR="00884E0A" w:rsidRDefault="007046DE" w:rsidP="008A4DAF">
      <w:r>
        <w:t>According to the applicant, t</w:t>
      </w:r>
      <w:r w:rsidR="002B0110">
        <w:t>here are currently approximately 40 ACI procedures performed in Australia annually</w:t>
      </w:r>
      <w:r w:rsidR="005C1632">
        <w:t>, and most of these are performed on lesions of the knee.</w:t>
      </w:r>
      <w:r>
        <w:t xml:space="preserve"> </w:t>
      </w:r>
      <w:r w:rsidR="00CB7700">
        <w:t>In the private sector t</w:t>
      </w:r>
      <w:r w:rsidR="00FB3743">
        <w:t xml:space="preserve">he </w:t>
      </w:r>
      <w:r w:rsidR="005C1632">
        <w:t>procedure</w:t>
      </w:r>
      <w:r w:rsidR="00FB3743">
        <w:t xml:space="preserve"> is self-funded by patients</w:t>
      </w:r>
      <w:r w:rsidR="002A20EF" w:rsidRPr="002A20EF">
        <w:t xml:space="preserve"> </w:t>
      </w:r>
      <w:r w:rsidR="002A20EF">
        <w:t>or workers' compensation</w:t>
      </w:r>
      <w:r w:rsidR="0044133A">
        <w:t>,</w:t>
      </w:r>
      <w:r w:rsidR="00FB3743">
        <w:t xml:space="preserve"> </w:t>
      </w:r>
      <w:r w:rsidR="00CB7700">
        <w:t>and in the public sector it is funded by the hospital</w:t>
      </w:r>
      <w:r w:rsidR="0044133A">
        <w:t>.</w:t>
      </w:r>
    </w:p>
    <w:p w14:paraId="30EF765C" w14:textId="77777777" w:rsidR="00D57540" w:rsidRPr="00E052A2" w:rsidRDefault="007046DE" w:rsidP="00D57540">
      <w:pPr>
        <w:rPr>
          <w:i/>
          <w:iCs/>
        </w:rPr>
      </w:pPr>
      <w:r w:rsidRPr="00E052A2">
        <w:rPr>
          <w:i/>
          <w:iCs/>
        </w:rPr>
        <w:lastRenderedPageBreak/>
        <w:t xml:space="preserve">PASC confirmed the proposed MBS item for implantation does not need to specify that the collagen matrix consists of porcine collagen. </w:t>
      </w:r>
    </w:p>
    <w:p w14:paraId="6D9C7E56" w14:textId="77777777" w:rsidR="00D57540" w:rsidRPr="00E052A2" w:rsidRDefault="007046DE" w:rsidP="00D57540">
      <w:pPr>
        <w:rPr>
          <w:i/>
          <w:iCs/>
        </w:rPr>
      </w:pPr>
      <w:r w:rsidRPr="00E052A2">
        <w:rPr>
          <w:i/>
          <w:iCs/>
        </w:rPr>
        <w:t>PASC considered the addition of restrictions to the population description in the proposed MBS items for harvesting and implanting was appropriate.</w:t>
      </w:r>
    </w:p>
    <w:p w14:paraId="27A79E0F" w14:textId="77777777" w:rsidR="00D57540" w:rsidRPr="00E052A2" w:rsidRDefault="007046DE" w:rsidP="00D57540">
      <w:pPr>
        <w:rPr>
          <w:i/>
          <w:iCs/>
        </w:rPr>
      </w:pPr>
      <w:r w:rsidRPr="00E052A2">
        <w:rPr>
          <w:i/>
          <w:iCs/>
        </w:rPr>
        <w:t xml:space="preserve">PASC noted that repair of multiple lesions can be undertaken simultaneously and that a second repair of a lesion can be undertaken. However, the applicant’s clinical expert advised that generally patients do not have further repairs. PASC considered that the number of services claimable did not need to be limited but noted a multiple operations rule needed to be added to the item descriptor. </w:t>
      </w:r>
    </w:p>
    <w:p w14:paraId="64675FD1" w14:textId="618EEEEF" w:rsidR="00D57540" w:rsidRPr="00E052A2" w:rsidRDefault="007046DE" w:rsidP="00D57540">
      <w:pPr>
        <w:rPr>
          <w:i/>
          <w:iCs/>
        </w:rPr>
      </w:pPr>
      <w:r w:rsidRPr="00E052A2">
        <w:rPr>
          <w:i/>
          <w:iCs/>
        </w:rPr>
        <w:t>PASC noted the proposed fee ($853) for the harvesting procedure was based on MBS item 49584 (arthroscopic grafting) which is higher than the $300.45 fee for MBS item 49570 for an arthroscopic knee biopsy procedure. PASC queried the justification for referencing the harvesting procedure fee against a complex arthroscopic grafting procedure. The applicant advised this was based on clinician advice. PASC advised that the assessment would need to provide some justification for the fee, perhaps drawing on the SUMMIT RCT which may discuss or report the duration of the procedure. PASC advised that the applicant developed assessment report (ADAR) needs to justify the proposed fee for both proposed MBS items in terms of factors such as the complexity of the procedure and expected procedure time</w:t>
      </w:r>
      <w:r w:rsidR="00AB018B">
        <w:rPr>
          <w:i/>
          <w:iCs/>
        </w:rPr>
        <w:t xml:space="preserve">, or where this justification is unavailable, align the fee with current comparable procedures. </w:t>
      </w:r>
    </w:p>
    <w:p w14:paraId="6CD3C1DE" w14:textId="77777777" w:rsidR="00D57540" w:rsidRPr="00E052A2" w:rsidRDefault="007046DE" w:rsidP="00D57540">
      <w:pPr>
        <w:rPr>
          <w:i/>
          <w:iCs/>
        </w:rPr>
      </w:pPr>
      <w:r w:rsidRPr="00E052A2">
        <w:rPr>
          <w:i/>
          <w:iCs/>
        </w:rPr>
        <w:t>PASC agreed with the suggested edits to the proposed MBS item descriptor for the implantation procedure to allow for implantation with either arthroscopy or arthrotomy.</w:t>
      </w:r>
    </w:p>
    <w:p w14:paraId="2FD8374E" w14:textId="3066645B" w:rsidR="00D57540" w:rsidRPr="00E052A2" w:rsidRDefault="007046DE" w:rsidP="00E052A2">
      <w:pPr>
        <w:spacing w:after="360"/>
        <w:rPr>
          <w:i/>
          <w:iCs/>
        </w:rPr>
      </w:pPr>
      <w:r w:rsidRPr="00E052A2">
        <w:rPr>
          <w:i/>
          <w:iCs/>
        </w:rPr>
        <w:t xml:space="preserve">PASC raised concerns regarding the potential for equity and accessibility issues arising from out-of-pocket costs associated with the intervention. It was noted rehabilitation protocols have advanced quite considerably over the last 10-15 </w:t>
      </w:r>
      <w:r w:rsidR="00196152" w:rsidRPr="00E052A2">
        <w:rPr>
          <w:i/>
          <w:iCs/>
        </w:rPr>
        <w:t>years and</w:t>
      </w:r>
      <w:r w:rsidRPr="00E052A2">
        <w:rPr>
          <w:i/>
          <w:iCs/>
        </w:rPr>
        <w:t xml:space="preserve"> are accelerated compared to what they used to be. The applicant’s clinical expert advised that while rehabilitation periods are a little longer for ACI procedures compared to microfracture, they are not dissimilar in timeframe or costs, and are less costly than knee arthroplasty. PASC advised that the ADAR needs to clarify the magnitude of out-of-pocket costs associated with the prolonged rehabilitation times in both the matrix-assisted ACI and microfracture procedures.</w:t>
      </w:r>
    </w:p>
    <w:p w14:paraId="62338695" w14:textId="13A9CDD6" w:rsidR="00D37A3F" w:rsidRPr="00D37A3F" w:rsidRDefault="007046DE" w:rsidP="00713728">
      <w:pPr>
        <w:pStyle w:val="Heading2"/>
      </w:pPr>
      <w:r>
        <w:t>Summary of public consultation</w:t>
      </w:r>
      <w:r w:rsidRPr="00D37A3F">
        <w:t xml:space="preserve"> </w:t>
      </w:r>
      <w:r w:rsidR="00E470B0">
        <w:t>input</w:t>
      </w:r>
    </w:p>
    <w:p w14:paraId="0A6C592A" w14:textId="558576A2" w:rsidR="0018333D" w:rsidRPr="001A63B6" w:rsidRDefault="007046DE" w:rsidP="0018333D">
      <w:pPr>
        <w:spacing w:after="120"/>
      </w:pPr>
      <w:r w:rsidRPr="00BC3D7F">
        <w:rPr>
          <w:i/>
          <w:iCs/>
        </w:rPr>
        <w:t xml:space="preserve">PASC noted and welcomed consultation input from </w:t>
      </w:r>
      <w:r w:rsidR="00047895" w:rsidRPr="00BC3D7F">
        <w:rPr>
          <w:i/>
          <w:iCs/>
        </w:rPr>
        <w:t xml:space="preserve">one </w:t>
      </w:r>
      <w:r w:rsidRPr="00BC3D7F">
        <w:rPr>
          <w:i/>
          <w:iCs/>
        </w:rPr>
        <w:t>organisation.</w:t>
      </w:r>
      <w:r w:rsidRPr="00E052A2">
        <w:t xml:space="preserve"> The </w:t>
      </w:r>
      <w:r w:rsidR="00047895" w:rsidRPr="00E052A2">
        <w:t xml:space="preserve">one </w:t>
      </w:r>
      <w:r w:rsidRPr="00E052A2">
        <w:t>organisation that submitted input was:</w:t>
      </w:r>
    </w:p>
    <w:p w14:paraId="79A55381" w14:textId="6A808855" w:rsidR="0018333D" w:rsidRPr="00D7667B" w:rsidRDefault="007046DE" w:rsidP="0018333D">
      <w:pPr>
        <w:pStyle w:val="ListParagraph"/>
        <w:numPr>
          <w:ilvl w:val="0"/>
          <w:numId w:val="30"/>
        </w:numPr>
        <w:spacing w:after="120" w:line="259" w:lineRule="auto"/>
      </w:pPr>
      <w:r>
        <w:t>Australian Knee Society</w:t>
      </w:r>
      <w:r w:rsidR="006D45A0">
        <w:t xml:space="preserve"> (AKS)</w:t>
      </w:r>
      <w:r w:rsidR="00047895">
        <w:t>.</w:t>
      </w:r>
    </w:p>
    <w:p w14:paraId="5681855B" w14:textId="77777777" w:rsidR="0018333D" w:rsidRPr="00B8687D" w:rsidRDefault="007046DE" w:rsidP="0018333D">
      <w:r>
        <w:t>The consultation feedback received was supportive.</w:t>
      </w:r>
    </w:p>
    <w:p w14:paraId="41E5D9E3" w14:textId="77777777" w:rsidR="0018333D" w:rsidRDefault="007046DE" w:rsidP="0018333D">
      <w:pPr>
        <w:rPr>
          <w:b/>
          <w:bCs/>
        </w:rPr>
      </w:pPr>
      <w:r w:rsidRPr="00C50417">
        <w:rPr>
          <w:b/>
          <w:bCs/>
        </w:rPr>
        <w:t>Clinical need and public health significance</w:t>
      </w:r>
    </w:p>
    <w:p w14:paraId="29E4AD89" w14:textId="2BB1C908" w:rsidR="0018333D" w:rsidRDefault="007046DE" w:rsidP="0018333D">
      <w:r>
        <w:t xml:space="preserve">The main benefits of public funding received in the consultation feedback included shorter duration of symptoms </w:t>
      </w:r>
      <w:r w:rsidR="00FB2928">
        <w:t xml:space="preserve">and the service providing </w:t>
      </w:r>
      <w:r w:rsidR="00442520">
        <w:t xml:space="preserve">an </w:t>
      </w:r>
      <w:r>
        <w:t>additional option for surgeon</w:t>
      </w:r>
      <w:r w:rsidR="00442520">
        <w:t>s</w:t>
      </w:r>
      <w:r>
        <w:t xml:space="preserve"> to treat small to medium sized chondral lesions</w:t>
      </w:r>
      <w:r w:rsidR="00442520">
        <w:t>,</w:t>
      </w:r>
      <w:r>
        <w:t xml:space="preserve"> especially in younger patients. However</w:t>
      </w:r>
      <w:r w:rsidR="00CC7D4E">
        <w:t>,</w:t>
      </w:r>
      <w:r>
        <w:t xml:space="preserve"> input indicated that this therapy could add cost </w:t>
      </w:r>
      <w:r>
        <w:lastRenderedPageBreak/>
        <w:t xml:space="preserve">due to </w:t>
      </w:r>
      <w:r w:rsidR="00442520">
        <w:t xml:space="preserve">the </w:t>
      </w:r>
      <w:r>
        <w:t xml:space="preserve">requirement </w:t>
      </w:r>
      <w:r w:rsidR="00442520">
        <w:t xml:space="preserve">for </w:t>
      </w:r>
      <w:r>
        <w:t>two operations, an initial biopsy followed by an insertion procedure</w:t>
      </w:r>
      <w:r w:rsidR="00EC696D">
        <w:t>,</w:t>
      </w:r>
      <w:r>
        <w:t xml:space="preserve"> compared to available options of microfracture or mosaicplasty.</w:t>
      </w:r>
    </w:p>
    <w:p w14:paraId="44E232F7" w14:textId="5E7A0CB9" w:rsidR="0018333D" w:rsidRDefault="007046DE" w:rsidP="0018333D">
      <w:r>
        <w:t xml:space="preserve">Physiotherapy as a part of </w:t>
      </w:r>
      <w:r w:rsidR="009D0CA5">
        <w:t xml:space="preserve">a </w:t>
      </w:r>
      <w:r>
        <w:t>rehabilitation program was identified as being needed to be delivered before or after the intervention.</w:t>
      </w:r>
    </w:p>
    <w:p w14:paraId="34CA1189" w14:textId="77777777" w:rsidR="0018333D" w:rsidRDefault="007046DE" w:rsidP="0018333D">
      <w:pPr>
        <w:rPr>
          <w:b/>
          <w:bCs/>
        </w:rPr>
      </w:pPr>
      <w:r w:rsidRPr="00C50417">
        <w:rPr>
          <w:b/>
          <w:bCs/>
        </w:rPr>
        <w:t>Indication(s) for the proposed medical service and clinical claim</w:t>
      </w:r>
    </w:p>
    <w:p w14:paraId="470F8C83" w14:textId="6EA4C0B7" w:rsidR="0018333D" w:rsidRDefault="007046DE" w:rsidP="0018333D">
      <w:r>
        <w:t>The consultation feedback supported the proposed patient population with small chondral lesions.</w:t>
      </w:r>
    </w:p>
    <w:p w14:paraId="3A8E4BF7" w14:textId="0B4706BA" w:rsidR="0018333D" w:rsidRDefault="007046DE" w:rsidP="0018333D">
      <w:r>
        <w:t xml:space="preserve">The consultation feedback agreed with microfracture as </w:t>
      </w:r>
      <w:r w:rsidR="00BC170D">
        <w:t xml:space="preserve">the </w:t>
      </w:r>
      <w:r>
        <w:t xml:space="preserve">comparator for </w:t>
      </w:r>
      <w:r w:rsidR="00BC170D">
        <w:t xml:space="preserve">the </w:t>
      </w:r>
      <w:r>
        <w:t>proposed service.</w:t>
      </w:r>
    </w:p>
    <w:p w14:paraId="00051C6D" w14:textId="0F85F9D3" w:rsidR="0018333D" w:rsidRDefault="007046DE" w:rsidP="0018333D">
      <w:r>
        <w:t>The consultation feedback supported the clinical claim</w:t>
      </w:r>
      <w:r w:rsidR="00BC170D">
        <w:t>,</w:t>
      </w:r>
      <w:r>
        <w:t xml:space="preserve"> noting sufficient published data as evidence to support the application.</w:t>
      </w:r>
    </w:p>
    <w:p w14:paraId="5F201EF8" w14:textId="77777777" w:rsidR="0018333D" w:rsidRDefault="007046DE" w:rsidP="0018333D">
      <w:pPr>
        <w:rPr>
          <w:b/>
          <w:bCs/>
        </w:rPr>
      </w:pPr>
      <w:r w:rsidRPr="00E76884">
        <w:rPr>
          <w:b/>
          <w:bCs/>
        </w:rPr>
        <w:t>Cost information for the proposed medical service</w:t>
      </w:r>
    </w:p>
    <w:p w14:paraId="6E50F1B9" w14:textId="77777777" w:rsidR="0018333D" w:rsidRDefault="007046DE" w:rsidP="0018333D">
      <w:r>
        <w:t>The consultation feedback agreed with the service descriptor.</w:t>
      </w:r>
    </w:p>
    <w:p w14:paraId="325647E9" w14:textId="3ED9C82A" w:rsidR="0018333D" w:rsidRDefault="007046DE" w:rsidP="0018333D">
      <w:r>
        <w:t xml:space="preserve">Input from </w:t>
      </w:r>
      <w:r w:rsidR="009D0CA5">
        <w:t xml:space="preserve">the </w:t>
      </w:r>
      <w:r>
        <w:t xml:space="preserve">Australian Knee </w:t>
      </w:r>
      <w:r w:rsidR="009D0CA5">
        <w:t>S</w:t>
      </w:r>
      <w:r>
        <w:t xml:space="preserve">ociety agreed with the service fee, noting it in line with </w:t>
      </w:r>
      <w:r w:rsidR="009D0CA5">
        <w:t xml:space="preserve">the </w:t>
      </w:r>
      <w:r>
        <w:t>current fee for arthroscopic microfracture.</w:t>
      </w:r>
    </w:p>
    <w:p w14:paraId="3311794E" w14:textId="43E0CEBF" w:rsidR="0018333D" w:rsidRPr="00D811C1" w:rsidRDefault="007046DE" w:rsidP="0018333D">
      <w:pPr>
        <w:rPr>
          <w:b/>
          <w:bCs/>
        </w:rPr>
      </w:pPr>
      <w:r w:rsidRPr="00D811C1">
        <w:rPr>
          <w:b/>
          <w:bCs/>
        </w:rPr>
        <w:t>Consumer Feedback</w:t>
      </w:r>
    </w:p>
    <w:p w14:paraId="56377826" w14:textId="4DAE48AA" w:rsidR="004065C6" w:rsidRPr="000329F5" w:rsidRDefault="007046DE" w:rsidP="00582F9E">
      <w:r w:rsidRPr="006B11E9">
        <w:rPr>
          <w:i/>
          <w:iCs/>
        </w:rPr>
        <w:t>PASC noted that consultation feedback was received from the AKS. While the feedback was supportive, the AKS noted declining use of matrix-</w:t>
      </w:r>
      <w:r w:rsidR="005367F7">
        <w:rPr>
          <w:i/>
          <w:iCs/>
        </w:rPr>
        <w:t>assisted</w:t>
      </w:r>
      <w:r w:rsidRPr="006B11E9">
        <w:rPr>
          <w:i/>
          <w:iCs/>
        </w:rPr>
        <w:t xml:space="preserve"> ACI over the past 10 years due to removal of the product from the PL. The AKS also stated that clinical outcomes are better in younger patients with shorter duration of symptoms and that the benefit is more durable compared to microfracture or mosaicplasty.</w:t>
      </w:r>
    </w:p>
    <w:p w14:paraId="4E68667F" w14:textId="77777777" w:rsidR="00D37A3F" w:rsidRPr="00D37A3F" w:rsidRDefault="007046DE" w:rsidP="00713728">
      <w:pPr>
        <w:pStyle w:val="Heading2"/>
      </w:pPr>
      <w:r w:rsidRPr="00D37A3F">
        <w:t>Next steps</w:t>
      </w:r>
    </w:p>
    <w:p w14:paraId="0CE7B685" w14:textId="77777777" w:rsidR="003577EF" w:rsidRPr="00D11E0C" w:rsidRDefault="003577EF" w:rsidP="003577EF">
      <w:pPr>
        <w:autoSpaceDE w:val="0"/>
        <w:autoSpaceDN w:val="0"/>
        <w:adjustRightInd w:val="0"/>
        <w:spacing w:line="23" w:lineRule="atLeast"/>
        <w:rPr>
          <w:rFonts w:asciiTheme="minorHAnsi" w:hAnsiTheme="minorHAnsi" w:cstheme="minorHAnsi"/>
          <w:i/>
          <w:iCs/>
        </w:rPr>
      </w:pPr>
      <w:r w:rsidRPr="00D11E0C">
        <w:rPr>
          <w:rFonts w:asciiTheme="minorHAnsi" w:hAnsiTheme="minorHAnsi" w:cstheme="minorHAnsi"/>
          <w:i/>
          <w:iCs/>
        </w:rPr>
        <w:t>PASC advised that, upon ratification of the post-PASC PICO, the application can proceed to the Evaluation Sub-Committee (ESC) stage of the MSAC process.</w:t>
      </w:r>
    </w:p>
    <w:p w14:paraId="48F8D3F2" w14:textId="1FAFEF59" w:rsidR="003577EF" w:rsidRPr="005B05A1" w:rsidRDefault="003577EF" w:rsidP="005B05A1">
      <w:pPr>
        <w:autoSpaceDE w:val="0"/>
        <w:autoSpaceDN w:val="0"/>
        <w:adjustRightInd w:val="0"/>
        <w:spacing w:line="23" w:lineRule="atLeast"/>
        <w:rPr>
          <w:rFonts w:asciiTheme="minorHAnsi" w:hAnsiTheme="minorHAnsi" w:cstheme="minorHAnsi"/>
          <w:i/>
          <w:iCs/>
        </w:rPr>
      </w:pPr>
      <w:r w:rsidRPr="00D11E0C">
        <w:rPr>
          <w:rFonts w:asciiTheme="minorHAnsi" w:hAnsiTheme="minorHAnsi" w:cstheme="minorHAnsi"/>
          <w:i/>
          <w:iCs/>
        </w:rPr>
        <w:t>PASC noted the applicant has elected to progress its application as an ADAR (Applicant Developed Assessment Report).</w:t>
      </w:r>
      <w:r w:rsidRPr="00E052A2">
        <w:rPr>
          <w:rFonts w:asciiTheme="minorHAnsi" w:hAnsiTheme="minorHAnsi" w:cstheme="minorHAnsi"/>
          <w:i/>
          <w:iCs/>
        </w:rPr>
        <w:t xml:space="preserve"> </w:t>
      </w:r>
    </w:p>
    <w:p w14:paraId="52FE9B11" w14:textId="690D3916" w:rsidR="00DC167B" w:rsidRPr="00D37A3F" w:rsidRDefault="007046DE" w:rsidP="00DC167B">
      <w:pPr>
        <w:pStyle w:val="Heading2"/>
      </w:pPr>
      <w:r>
        <w:t>Applicant Comments on Ratified PICO</w:t>
      </w:r>
    </w:p>
    <w:p w14:paraId="4C2978A3" w14:textId="77777777" w:rsidR="007046DE" w:rsidRDefault="007046DE" w:rsidP="007046DE">
      <w:pPr>
        <w:autoSpaceDE w:val="0"/>
        <w:autoSpaceDN w:val="0"/>
        <w:adjustRightInd w:val="0"/>
        <w:spacing w:line="23" w:lineRule="atLeast"/>
        <w:ind w:left="360"/>
        <w:rPr>
          <w:rFonts w:asciiTheme="minorHAnsi" w:hAnsiTheme="minorHAnsi" w:cstheme="minorHAnsi"/>
        </w:rPr>
      </w:pPr>
      <w:r>
        <w:rPr>
          <w:rFonts w:asciiTheme="minorHAnsi" w:hAnsiTheme="minorHAnsi" w:cstheme="minorHAnsi"/>
        </w:rPr>
        <w:t>The applicant wishes to make the following comments:</w:t>
      </w:r>
    </w:p>
    <w:p w14:paraId="6E05D443" w14:textId="52AFF9D1" w:rsidR="007046DE" w:rsidRPr="00430C31" w:rsidRDefault="00874D76" w:rsidP="006C7BA2">
      <w:pPr>
        <w:pStyle w:val="ListParagraph"/>
        <w:numPr>
          <w:ilvl w:val="0"/>
          <w:numId w:val="38"/>
        </w:numPr>
        <w:autoSpaceDE w:val="0"/>
        <w:autoSpaceDN w:val="0"/>
        <w:adjustRightInd w:val="0"/>
        <w:spacing w:line="23" w:lineRule="atLeast"/>
        <w:contextualSpacing w:val="0"/>
      </w:pPr>
      <w:r w:rsidRPr="00874D76">
        <w:t>With respect to previous advice from MSAC that an RCT of microfracture alone versus placebo</w:t>
      </w:r>
      <w:r w:rsidR="00EA1CEF">
        <w:t>.</w:t>
      </w:r>
      <w:r w:rsidRPr="00874D76">
        <w:t xml:space="preserve"> should be undertaken to establish the benefit of microfra</w:t>
      </w:r>
      <w:r>
        <w:t>c</w:t>
      </w:r>
      <w:r w:rsidRPr="00874D76">
        <w:t>ture</w:t>
      </w:r>
      <w:r w:rsidR="00EA1CEF">
        <w:t>.</w:t>
      </w:r>
      <w:r w:rsidR="00EA1CEF" w:rsidRPr="00874D76">
        <w:t xml:space="preserve"> </w:t>
      </w:r>
      <w:r w:rsidR="00EA1CEF">
        <w:t>T</w:t>
      </w:r>
      <w:r w:rsidRPr="00874D76">
        <w:t xml:space="preserve">he applicant considers such a trial </w:t>
      </w:r>
      <w:r w:rsidR="00064DC7">
        <w:t xml:space="preserve">would be a sham surgery </w:t>
      </w:r>
      <w:r w:rsidR="00DA55DE">
        <w:t>trial that</w:t>
      </w:r>
      <w:r w:rsidR="00064DC7">
        <w:t xml:space="preserve"> would </w:t>
      </w:r>
      <w:r w:rsidRPr="00874D76">
        <w:t>be unethical and inherently high risk.</w:t>
      </w:r>
      <w:r w:rsidR="00842278">
        <w:t xml:space="preserve"> </w:t>
      </w:r>
      <w:r w:rsidR="00430C31">
        <w:t>T</w:t>
      </w:r>
      <w:r w:rsidR="00430C31" w:rsidRPr="00430C31">
        <w:t>he applicant considers placebo-controlled trials are not appropriate for interventions requiring surgery</w:t>
      </w:r>
      <w:r w:rsidR="00430C31">
        <w:t>.</w:t>
      </w:r>
      <w:r w:rsidR="009E05CD">
        <w:t xml:space="preserve"> </w:t>
      </w:r>
      <w:r w:rsidR="007046DE" w:rsidRPr="00430C31">
        <w:rPr>
          <w:rFonts w:asciiTheme="minorHAnsi" w:hAnsiTheme="minorHAnsi" w:cstheme="minorHAnsi"/>
        </w:rPr>
        <w:t xml:space="preserve">Practically, recruitment of such a trial would be highly difficult, if not impossible. We are concerned that reliance on this flawed recommendation places an unreasonable burden of proof on any applicant seeking to use microfracture to establish efficacy of any cartilage repair procedure through the MSAC process, especially since there are limited therapeutic options available. Microfracture has an MBS item number. The MBS Review has concluded that </w:t>
      </w:r>
      <w:r w:rsidR="007046DE" w:rsidRPr="00430C31">
        <w:rPr>
          <w:rFonts w:asciiTheme="minorHAnsi" w:hAnsiTheme="minorHAnsi" w:cstheme="minorHAnsi"/>
        </w:rPr>
        <w:lastRenderedPageBreak/>
        <w:t xml:space="preserve">microfracture has a place on the MBS. The onus should not be on the applicant to establish the safety and efficacy of a procedure that remains on the MBS following the lengthy and comprehensive MBS Review. </w:t>
      </w:r>
    </w:p>
    <w:p w14:paraId="70AD0061" w14:textId="277CF67D" w:rsidR="007046DE" w:rsidRPr="006A752A" w:rsidRDefault="007046DE" w:rsidP="006C7BA2">
      <w:pPr>
        <w:pStyle w:val="ListParagraph"/>
        <w:numPr>
          <w:ilvl w:val="0"/>
          <w:numId w:val="38"/>
        </w:numPr>
        <w:autoSpaceDE w:val="0"/>
        <w:autoSpaceDN w:val="0"/>
        <w:adjustRightInd w:val="0"/>
        <w:spacing w:line="23" w:lineRule="atLeast"/>
        <w:contextualSpacing w:val="0"/>
        <w:rPr>
          <w:rFonts w:asciiTheme="minorHAnsi" w:hAnsiTheme="minorHAnsi" w:cstheme="minorHAnsi"/>
        </w:rPr>
      </w:pPr>
      <w:r w:rsidRPr="006A752A">
        <w:rPr>
          <w:rFonts w:asciiTheme="minorHAnsi" w:hAnsiTheme="minorHAnsi" w:cstheme="minorHAnsi"/>
        </w:rPr>
        <w:t>OrthoACI is not regulated under the Human Tissues Act, but under the Therapeutic Goods Act, classified as a Class 3 biological therapy. Consequently, OrthoACI does not fit comfortably in Part B of the PL, which is intended to cover mainly donated tissue and almost exclusively Class 2 biologicals. The applicant is aware of reforms to Part B of the PL which propose 3 different assessment pathways to evaluate human cell and tissue products for inclusion on the PL. The applicant believe</w:t>
      </w:r>
      <w:r>
        <w:rPr>
          <w:rFonts w:asciiTheme="minorHAnsi" w:hAnsiTheme="minorHAnsi" w:cstheme="minorHAnsi"/>
        </w:rPr>
        <w:t>s</w:t>
      </w:r>
      <w:r w:rsidRPr="006A752A">
        <w:rPr>
          <w:rFonts w:asciiTheme="minorHAnsi" w:hAnsiTheme="minorHAnsi" w:cstheme="minorHAnsi"/>
        </w:rPr>
        <w:t xml:space="preserve"> that these reforms will clarify reimbursement for OrthoACI and other similar cell therapy products</w:t>
      </w:r>
      <w:r>
        <w:rPr>
          <w:rFonts w:asciiTheme="minorHAnsi" w:hAnsiTheme="minorHAnsi" w:cstheme="minorHAnsi"/>
        </w:rPr>
        <w:t xml:space="preserve"> in eh future, which will improve accessibility to patients while appropriately compensating manufacturers of such products</w:t>
      </w:r>
      <w:r w:rsidRPr="006A752A">
        <w:rPr>
          <w:rFonts w:asciiTheme="minorHAnsi" w:hAnsiTheme="minorHAnsi" w:cstheme="minorHAnsi"/>
        </w:rPr>
        <w:t>.</w:t>
      </w:r>
    </w:p>
    <w:p w14:paraId="70D7182A" w14:textId="27965081" w:rsidR="00BB25E5" w:rsidRPr="00384E55" w:rsidRDefault="007046DE" w:rsidP="006C7BA2">
      <w:r>
        <w:br w:type="page"/>
      </w:r>
    </w:p>
    <w:p w14:paraId="73A2A9C9" w14:textId="0EF53AA2" w:rsidR="006478E7" w:rsidRDefault="007046DE" w:rsidP="00713728">
      <w:pPr>
        <w:pStyle w:val="Heading2"/>
      </w:pPr>
      <w:r w:rsidRPr="00A33126">
        <w:lastRenderedPageBreak/>
        <w:t>References</w:t>
      </w:r>
    </w:p>
    <w:p w14:paraId="1642FDD4" w14:textId="583B2EBA" w:rsidR="00D23FDF" w:rsidRDefault="007046DE" w:rsidP="000A0F3F">
      <w:pPr>
        <w:autoSpaceDE w:val="0"/>
        <w:autoSpaceDN w:val="0"/>
        <w:adjustRightInd w:val="0"/>
        <w:spacing w:before="120" w:after="0" w:line="240" w:lineRule="auto"/>
        <w:ind w:left="720" w:hanging="720"/>
        <w:rPr>
          <w:rFonts w:eastAsiaTheme="minorHAnsi" w:cs="Calibri"/>
        </w:rPr>
      </w:pPr>
      <w:proofErr w:type="spellStart"/>
      <w:r w:rsidRPr="00D23FDF">
        <w:rPr>
          <w:rFonts w:eastAsiaTheme="minorHAnsi" w:cs="Calibri"/>
        </w:rPr>
        <w:t>Aae</w:t>
      </w:r>
      <w:proofErr w:type="spellEnd"/>
      <w:r w:rsidRPr="00D23FDF">
        <w:rPr>
          <w:rFonts w:eastAsiaTheme="minorHAnsi" w:cs="Calibri"/>
        </w:rPr>
        <w:t xml:space="preserve"> TF, </w:t>
      </w:r>
      <w:proofErr w:type="spellStart"/>
      <w:r w:rsidRPr="00D23FDF">
        <w:rPr>
          <w:rFonts w:eastAsiaTheme="minorHAnsi" w:cs="Calibri"/>
        </w:rPr>
        <w:t>Randsborg</w:t>
      </w:r>
      <w:proofErr w:type="spellEnd"/>
      <w:r w:rsidRPr="00D23FDF">
        <w:rPr>
          <w:rFonts w:eastAsiaTheme="minorHAnsi" w:cs="Calibri"/>
        </w:rPr>
        <w:t xml:space="preserve"> PH, </w:t>
      </w:r>
      <w:proofErr w:type="spellStart"/>
      <w:r w:rsidRPr="00D23FDF">
        <w:rPr>
          <w:rFonts w:eastAsiaTheme="minorHAnsi" w:cs="Calibri"/>
        </w:rPr>
        <w:t>Lurås</w:t>
      </w:r>
      <w:proofErr w:type="spellEnd"/>
      <w:r w:rsidRPr="00D23FDF">
        <w:rPr>
          <w:rFonts w:eastAsiaTheme="minorHAnsi" w:cs="Calibri"/>
        </w:rPr>
        <w:t xml:space="preserve"> H, </w:t>
      </w:r>
      <w:proofErr w:type="spellStart"/>
      <w:r w:rsidRPr="00D23FDF">
        <w:rPr>
          <w:rFonts w:eastAsiaTheme="minorHAnsi" w:cs="Calibri"/>
        </w:rPr>
        <w:t>Årøen</w:t>
      </w:r>
      <w:proofErr w:type="spellEnd"/>
      <w:r w:rsidRPr="00D23FDF">
        <w:rPr>
          <w:rFonts w:eastAsiaTheme="minorHAnsi" w:cs="Calibri"/>
        </w:rPr>
        <w:t xml:space="preserve"> A, and Lian Ø B (2018) 'Microfracture is more cost-effective than autologous chondrocyte implantation: a review of level 1 and level 2 studies with 5 year follow-up', Knee Surg Sports </w:t>
      </w:r>
      <w:proofErr w:type="spellStart"/>
      <w:r w:rsidRPr="00D23FDF">
        <w:rPr>
          <w:rFonts w:eastAsiaTheme="minorHAnsi" w:cs="Calibri"/>
        </w:rPr>
        <w:t>Traumatol</w:t>
      </w:r>
      <w:proofErr w:type="spellEnd"/>
      <w:r w:rsidRPr="00D23FDF">
        <w:rPr>
          <w:rFonts w:eastAsiaTheme="minorHAnsi" w:cs="Calibri"/>
        </w:rPr>
        <w:t xml:space="preserve"> </w:t>
      </w:r>
      <w:proofErr w:type="spellStart"/>
      <w:r w:rsidRPr="00D23FDF">
        <w:rPr>
          <w:rFonts w:eastAsiaTheme="minorHAnsi" w:cs="Calibri"/>
        </w:rPr>
        <w:t>Arthrosc</w:t>
      </w:r>
      <w:proofErr w:type="spellEnd"/>
      <w:r w:rsidRPr="00D23FDF">
        <w:rPr>
          <w:rFonts w:eastAsiaTheme="minorHAnsi" w:cs="Calibri"/>
        </w:rPr>
        <w:t xml:space="preserve">, 26(4): 1044-1052, </w:t>
      </w:r>
      <w:proofErr w:type="spellStart"/>
      <w:r w:rsidRPr="00D23FDF">
        <w:rPr>
          <w:rFonts w:eastAsiaTheme="minorHAnsi" w:cs="Calibri"/>
        </w:rPr>
        <w:t>doi:https</w:t>
      </w:r>
      <w:proofErr w:type="spellEnd"/>
      <w:r w:rsidRPr="00D23FDF">
        <w:rPr>
          <w:rFonts w:eastAsiaTheme="minorHAnsi" w:cs="Calibri"/>
        </w:rPr>
        <w:t>://doi.org/10.1007/s00167-017-4802-5.</w:t>
      </w:r>
    </w:p>
    <w:p w14:paraId="0300EFE8" w14:textId="7509DBD2" w:rsidR="001F284E" w:rsidRDefault="007046DE" w:rsidP="000A0F3F">
      <w:pPr>
        <w:autoSpaceDE w:val="0"/>
        <w:autoSpaceDN w:val="0"/>
        <w:adjustRightInd w:val="0"/>
        <w:spacing w:before="120" w:after="0" w:line="240" w:lineRule="auto"/>
        <w:ind w:left="720" w:hanging="720"/>
        <w:rPr>
          <w:rFonts w:eastAsiaTheme="minorHAnsi" w:cs="Calibri"/>
        </w:rPr>
      </w:pPr>
      <w:r>
        <w:rPr>
          <w:rFonts w:eastAsiaTheme="minorHAnsi" w:cs="Calibri"/>
        </w:rPr>
        <w:t>AAOS</w:t>
      </w:r>
      <w:r w:rsidR="000A0F3F">
        <w:rPr>
          <w:rFonts w:eastAsiaTheme="minorHAnsi" w:cs="Calibri"/>
        </w:rPr>
        <w:t xml:space="preserve"> (2023) </w:t>
      </w:r>
      <w:r w:rsidR="000A0F3F" w:rsidRPr="000A0F3F">
        <w:rPr>
          <w:rFonts w:eastAsiaTheme="minorHAnsi" w:cs="Calibri"/>
        </w:rPr>
        <w:t xml:space="preserve">American Academy of Orthopaedic Surgeons </w:t>
      </w:r>
      <w:r w:rsidR="000A0F3F">
        <w:rPr>
          <w:rFonts w:eastAsiaTheme="minorHAnsi" w:cs="Calibri"/>
        </w:rPr>
        <w:t>‘</w:t>
      </w:r>
      <w:r w:rsidR="000A0F3F" w:rsidRPr="000A0F3F">
        <w:rPr>
          <w:rFonts w:eastAsiaTheme="minorHAnsi" w:cs="Calibri"/>
        </w:rPr>
        <w:t>Diagnosis and Treatment of Osteochondritis Dissecans</w:t>
      </w:r>
      <w:r w:rsidR="000A0F3F">
        <w:rPr>
          <w:rFonts w:eastAsiaTheme="minorHAnsi" w:cs="Calibri"/>
        </w:rPr>
        <w:t xml:space="preserve"> </w:t>
      </w:r>
      <w:r w:rsidR="000A0F3F" w:rsidRPr="000A0F3F">
        <w:rPr>
          <w:rFonts w:eastAsiaTheme="minorHAnsi" w:cs="Calibri"/>
        </w:rPr>
        <w:t>Evidence-Based Clinical Practice Guideline.</w:t>
      </w:r>
      <w:r w:rsidR="000A0F3F">
        <w:rPr>
          <w:rFonts w:eastAsiaTheme="minorHAnsi" w:cs="Calibri"/>
        </w:rPr>
        <w:t>’</w:t>
      </w:r>
      <w:r w:rsidR="000A0F3F" w:rsidRPr="000A0F3F">
        <w:rPr>
          <w:rFonts w:eastAsiaTheme="minorHAnsi" w:cs="Calibri"/>
        </w:rPr>
        <w:t xml:space="preserve"> AAOS.org/ocdcpg.org Published December 1, 2023</w:t>
      </w:r>
    </w:p>
    <w:p w14:paraId="2F34787E" w14:textId="7A494F06" w:rsidR="00F85AB1" w:rsidRDefault="007046DE" w:rsidP="000A0F3F">
      <w:pPr>
        <w:autoSpaceDE w:val="0"/>
        <w:autoSpaceDN w:val="0"/>
        <w:adjustRightInd w:val="0"/>
        <w:spacing w:before="120" w:after="0" w:line="240" w:lineRule="auto"/>
        <w:ind w:left="720" w:hanging="720"/>
        <w:rPr>
          <w:rFonts w:eastAsiaTheme="minorHAnsi" w:cs="Calibri"/>
        </w:rPr>
      </w:pPr>
      <w:r w:rsidRPr="00F85AB1">
        <w:rPr>
          <w:rFonts w:eastAsiaTheme="minorHAnsi" w:cs="Calibri"/>
        </w:rPr>
        <w:t xml:space="preserve">Bentley G, Biant LC, Vijayan S, </w:t>
      </w:r>
      <w:proofErr w:type="spellStart"/>
      <w:r w:rsidRPr="00F85AB1">
        <w:rPr>
          <w:rFonts w:eastAsiaTheme="minorHAnsi" w:cs="Calibri"/>
        </w:rPr>
        <w:t>Macmull</w:t>
      </w:r>
      <w:proofErr w:type="spellEnd"/>
      <w:r w:rsidRPr="00F85AB1">
        <w:rPr>
          <w:rFonts w:eastAsiaTheme="minorHAnsi" w:cs="Calibri"/>
        </w:rPr>
        <w:t xml:space="preserve"> S, Skinner JA, and Carrington RWJ (2012) 'Minimum ten-year results of a prospective randomised study of autologous chondrocyte implantation versus mosaicplasty for symptomatic articular cartilage lesions of the knee', Journal of Bone and Joint Surgery - Series B, 94 B(4): 504-509, </w:t>
      </w:r>
      <w:r w:rsidR="00DD7C07">
        <w:rPr>
          <w:rFonts w:eastAsiaTheme="minorHAnsi" w:cs="Calibri"/>
        </w:rPr>
        <w:t>doi:</w:t>
      </w:r>
      <w:r w:rsidRPr="00F85AB1">
        <w:rPr>
          <w:rFonts w:eastAsiaTheme="minorHAnsi" w:cs="Calibri"/>
        </w:rPr>
        <w:t>10.1302/0301-620X.94B4.27495.</w:t>
      </w:r>
    </w:p>
    <w:p w14:paraId="60A11AB8" w14:textId="10F4EFF5" w:rsidR="00CC17EF" w:rsidRDefault="007046DE" w:rsidP="000A0F3F">
      <w:pPr>
        <w:autoSpaceDE w:val="0"/>
        <w:autoSpaceDN w:val="0"/>
        <w:adjustRightInd w:val="0"/>
        <w:spacing w:before="120" w:after="0" w:line="240" w:lineRule="auto"/>
        <w:ind w:left="720" w:hanging="720"/>
        <w:rPr>
          <w:rFonts w:eastAsiaTheme="minorHAnsi" w:cs="Calibri"/>
        </w:rPr>
      </w:pPr>
      <w:r w:rsidRPr="00CC17EF">
        <w:rPr>
          <w:rFonts w:eastAsiaTheme="minorHAnsi" w:cs="Calibri"/>
        </w:rPr>
        <w:t xml:space="preserve">Biant LC, McNicholas MJ, </w:t>
      </w:r>
      <w:proofErr w:type="spellStart"/>
      <w:r w:rsidRPr="00CC17EF">
        <w:rPr>
          <w:rFonts w:eastAsiaTheme="minorHAnsi" w:cs="Calibri"/>
        </w:rPr>
        <w:t>Sprowson</w:t>
      </w:r>
      <w:proofErr w:type="spellEnd"/>
      <w:r w:rsidRPr="00CC17EF">
        <w:rPr>
          <w:rFonts w:eastAsiaTheme="minorHAnsi" w:cs="Calibri"/>
        </w:rPr>
        <w:t xml:space="preserve"> AP, and Spalding T (2015) 'The surgical management of symptomatic articular cartilage defects of the knee: Consensus statements from United Kingdom knee surgeons', Knee, 22(5): 446-449, </w:t>
      </w:r>
      <w:r w:rsidR="00DD7C07">
        <w:rPr>
          <w:rFonts w:eastAsiaTheme="minorHAnsi" w:cs="Calibri"/>
        </w:rPr>
        <w:t>doi:</w:t>
      </w:r>
      <w:r w:rsidRPr="00CC17EF">
        <w:rPr>
          <w:rFonts w:eastAsiaTheme="minorHAnsi" w:cs="Calibri"/>
        </w:rPr>
        <w:t>10.1016/j.knee.2015.06.001.</w:t>
      </w:r>
    </w:p>
    <w:p w14:paraId="25F28F97" w14:textId="4A182C42" w:rsidR="0059435F" w:rsidRDefault="007046DE" w:rsidP="000A0F3F">
      <w:pPr>
        <w:autoSpaceDE w:val="0"/>
        <w:autoSpaceDN w:val="0"/>
        <w:adjustRightInd w:val="0"/>
        <w:spacing w:before="120" w:after="0" w:line="240" w:lineRule="auto"/>
        <w:ind w:left="720" w:hanging="720"/>
        <w:rPr>
          <w:rFonts w:eastAsiaTheme="minorHAnsi" w:cs="Calibri"/>
        </w:rPr>
      </w:pPr>
      <w:r w:rsidRPr="00355C21">
        <w:rPr>
          <w:rFonts w:eastAsiaTheme="minorHAnsi" w:cs="Calibri"/>
        </w:rPr>
        <w:t xml:space="preserve">Brittberg M, Recker D, </w:t>
      </w:r>
      <w:proofErr w:type="spellStart"/>
      <w:r w:rsidRPr="00355C21">
        <w:rPr>
          <w:rFonts w:eastAsiaTheme="minorHAnsi" w:cs="Calibri"/>
        </w:rPr>
        <w:t>Ilgenfritz</w:t>
      </w:r>
      <w:proofErr w:type="spellEnd"/>
      <w:r w:rsidRPr="00355C21">
        <w:rPr>
          <w:rFonts w:eastAsiaTheme="minorHAnsi" w:cs="Calibri"/>
        </w:rPr>
        <w:t xml:space="preserve"> J, and Saris DBF (2018) 'Matrix-Applied Characterized Autologous Cultured Chondrocytes Versus Microfracture: Five-Year Follow-up of a Prospective Randomized Trial', The American Journal of Sports Medicine, 46(6): 1343-1351, </w:t>
      </w:r>
      <w:r w:rsidR="00DD7C07">
        <w:rPr>
          <w:rFonts w:eastAsiaTheme="minorHAnsi" w:cs="Calibri"/>
        </w:rPr>
        <w:t>doi:</w:t>
      </w:r>
      <w:r w:rsidRPr="00355C21">
        <w:rPr>
          <w:rFonts w:eastAsiaTheme="minorHAnsi" w:cs="Calibri"/>
        </w:rPr>
        <w:t>10.1177/0363546518756976.</w:t>
      </w:r>
    </w:p>
    <w:p w14:paraId="11D02DA8" w14:textId="2AE804A0" w:rsidR="00BE631F" w:rsidRDefault="007046DE" w:rsidP="000A0F3F">
      <w:pPr>
        <w:autoSpaceDE w:val="0"/>
        <w:autoSpaceDN w:val="0"/>
        <w:adjustRightInd w:val="0"/>
        <w:spacing w:before="120" w:after="0" w:line="240" w:lineRule="auto"/>
        <w:ind w:left="720" w:hanging="720"/>
        <w:rPr>
          <w:rFonts w:eastAsiaTheme="minorHAnsi" w:cs="Calibri"/>
        </w:rPr>
      </w:pPr>
      <w:r w:rsidRPr="00BE631F">
        <w:rPr>
          <w:rFonts w:eastAsiaTheme="minorHAnsi" w:cs="Calibri"/>
        </w:rPr>
        <w:t xml:space="preserve">Clavé A, Potel JF, </w:t>
      </w:r>
      <w:proofErr w:type="spellStart"/>
      <w:r w:rsidRPr="00BE631F">
        <w:rPr>
          <w:rFonts w:eastAsiaTheme="minorHAnsi" w:cs="Calibri"/>
        </w:rPr>
        <w:t>Servien</w:t>
      </w:r>
      <w:proofErr w:type="spellEnd"/>
      <w:r w:rsidRPr="00BE631F">
        <w:rPr>
          <w:rFonts w:eastAsiaTheme="minorHAnsi" w:cs="Calibri"/>
        </w:rPr>
        <w:t xml:space="preserve"> E, </w:t>
      </w:r>
      <w:proofErr w:type="spellStart"/>
      <w:r w:rsidRPr="00BE631F">
        <w:rPr>
          <w:rFonts w:eastAsiaTheme="minorHAnsi" w:cs="Calibri"/>
        </w:rPr>
        <w:t>Neyret</w:t>
      </w:r>
      <w:proofErr w:type="spellEnd"/>
      <w:r w:rsidRPr="00BE631F">
        <w:rPr>
          <w:rFonts w:eastAsiaTheme="minorHAnsi" w:cs="Calibri"/>
        </w:rPr>
        <w:t xml:space="preserve"> P, </w:t>
      </w:r>
      <w:proofErr w:type="spellStart"/>
      <w:r w:rsidRPr="00BE631F">
        <w:rPr>
          <w:rFonts w:eastAsiaTheme="minorHAnsi" w:cs="Calibri"/>
        </w:rPr>
        <w:t>Dubrana</w:t>
      </w:r>
      <w:proofErr w:type="spellEnd"/>
      <w:r w:rsidRPr="00BE631F">
        <w:rPr>
          <w:rFonts w:eastAsiaTheme="minorHAnsi" w:cs="Calibri"/>
        </w:rPr>
        <w:t xml:space="preserve"> F, and </w:t>
      </w:r>
      <w:proofErr w:type="spellStart"/>
      <w:r w:rsidRPr="00BE631F">
        <w:rPr>
          <w:rFonts w:eastAsiaTheme="minorHAnsi" w:cs="Calibri"/>
        </w:rPr>
        <w:t>Stindel</w:t>
      </w:r>
      <w:proofErr w:type="spellEnd"/>
      <w:r w:rsidRPr="00BE631F">
        <w:rPr>
          <w:rFonts w:eastAsiaTheme="minorHAnsi" w:cs="Calibri"/>
        </w:rPr>
        <w:t xml:space="preserve"> E (2016) 'Third-generation autologous chondrocyte implantation versus mosaicplasty for knee cartilage injury: 2-year randomized trial', Journal of Orthopaedic Research, 34(4): 658-665, </w:t>
      </w:r>
      <w:r w:rsidR="00DD7C07">
        <w:rPr>
          <w:rFonts w:eastAsiaTheme="minorHAnsi" w:cs="Calibri"/>
        </w:rPr>
        <w:t>doi:</w:t>
      </w:r>
      <w:r w:rsidRPr="00BE631F">
        <w:rPr>
          <w:rFonts w:eastAsiaTheme="minorHAnsi" w:cs="Calibri"/>
        </w:rPr>
        <w:t>10.1002/jor.23152.</w:t>
      </w:r>
    </w:p>
    <w:p w14:paraId="10C6938B" w14:textId="65E401D3" w:rsidR="009C3FF9" w:rsidRDefault="007046DE" w:rsidP="000A0F3F">
      <w:pPr>
        <w:autoSpaceDE w:val="0"/>
        <w:autoSpaceDN w:val="0"/>
        <w:adjustRightInd w:val="0"/>
        <w:spacing w:before="120" w:after="0" w:line="240" w:lineRule="auto"/>
        <w:ind w:left="720" w:hanging="720"/>
        <w:rPr>
          <w:rFonts w:eastAsiaTheme="minorHAnsi" w:cs="Calibri"/>
        </w:rPr>
      </w:pPr>
      <w:r w:rsidRPr="009C3FF9">
        <w:rPr>
          <w:rFonts w:eastAsiaTheme="minorHAnsi" w:cs="Calibri"/>
        </w:rPr>
        <w:t xml:space="preserve">Cook JL, </w:t>
      </w:r>
      <w:proofErr w:type="spellStart"/>
      <w:r w:rsidRPr="009C3FF9">
        <w:rPr>
          <w:rFonts w:eastAsiaTheme="minorHAnsi" w:cs="Calibri"/>
        </w:rPr>
        <w:t>Gomoll</w:t>
      </w:r>
      <w:proofErr w:type="spellEnd"/>
      <w:r w:rsidRPr="009C3FF9">
        <w:rPr>
          <w:rFonts w:eastAsiaTheme="minorHAnsi" w:cs="Calibri"/>
        </w:rPr>
        <w:t xml:space="preserve"> AH, and Farr J (2016) 'Commentary on "third-generation autologous chondrocyte implantation versus mosaicplasty for knee cartilage injury: 2-year randomized trial"', Journal of Orthopaedic Research, 34(4): 557-558, </w:t>
      </w:r>
      <w:r w:rsidR="00DD7C07">
        <w:rPr>
          <w:rFonts w:eastAsiaTheme="minorHAnsi" w:cs="Calibri"/>
        </w:rPr>
        <w:t>doi:</w:t>
      </w:r>
      <w:r w:rsidRPr="009C3FF9">
        <w:rPr>
          <w:rFonts w:eastAsiaTheme="minorHAnsi" w:cs="Calibri"/>
        </w:rPr>
        <w:t>10.1002/jor.23206.</w:t>
      </w:r>
    </w:p>
    <w:p w14:paraId="2D8C75BA" w14:textId="4E68F592" w:rsidR="009E0952" w:rsidRDefault="007046DE" w:rsidP="00396D4A">
      <w:pPr>
        <w:autoSpaceDE w:val="0"/>
        <w:autoSpaceDN w:val="0"/>
        <w:adjustRightInd w:val="0"/>
        <w:spacing w:before="120" w:after="0" w:line="240" w:lineRule="auto"/>
        <w:ind w:left="720" w:hanging="720"/>
        <w:rPr>
          <w:rFonts w:eastAsiaTheme="minorHAnsi" w:cs="Calibri"/>
        </w:rPr>
      </w:pPr>
      <w:r w:rsidRPr="009E0952">
        <w:rPr>
          <w:rFonts w:eastAsiaTheme="minorHAnsi" w:cs="Calibri"/>
        </w:rPr>
        <w:t xml:space="preserve">Heir S, </w:t>
      </w:r>
      <w:proofErr w:type="spellStart"/>
      <w:r w:rsidRPr="009E0952">
        <w:rPr>
          <w:rFonts w:eastAsiaTheme="minorHAnsi" w:cs="Calibri"/>
        </w:rPr>
        <w:t>Nerhus</w:t>
      </w:r>
      <w:proofErr w:type="spellEnd"/>
      <w:r w:rsidRPr="009E0952">
        <w:rPr>
          <w:rFonts w:eastAsiaTheme="minorHAnsi" w:cs="Calibri"/>
        </w:rPr>
        <w:t xml:space="preserve"> TK, </w:t>
      </w:r>
      <w:proofErr w:type="spellStart"/>
      <w:r w:rsidRPr="009E0952">
        <w:rPr>
          <w:rFonts w:eastAsiaTheme="minorHAnsi" w:cs="Calibri"/>
        </w:rPr>
        <w:t>Røtterud</w:t>
      </w:r>
      <w:proofErr w:type="spellEnd"/>
      <w:r w:rsidRPr="009E0952">
        <w:rPr>
          <w:rFonts w:eastAsiaTheme="minorHAnsi" w:cs="Calibri"/>
        </w:rPr>
        <w:t xml:space="preserve"> JH, </w:t>
      </w:r>
      <w:proofErr w:type="spellStart"/>
      <w:r w:rsidRPr="009E0952">
        <w:rPr>
          <w:rFonts w:eastAsiaTheme="minorHAnsi" w:cs="Calibri"/>
        </w:rPr>
        <w:t>Løken</w:t>
      </w:r>
      <w:proofErr w:type="spellEnd"/>
      <w:r w:rsidRPr="009E0952">
        <w:rPr>
          <w:rFonts w:eastAsiaTheme="minorHAnsi" w:cs="Calibri"/>
        </w:rPr>
        <w:t xml:space="preserve"> S, </w:t>
      </w:r>
      <w:proofErr w:type="spellStart"/>
      <w:r w:rsidRPr="009E0952">
        <w:rPr>
          <w:rFonts w:eastAsiaTheme="minorHAnsi" w:cs="Calibri"/>
        </w:rPr>
        <w:t>Ekeland</w:t>
      </w:r>
      <w:proofErr w:type="spellEnd"/>
      <w:r w:rsidRPr="009E0952">
        <w:rPr>
          <w:rFonts w:eastAsiaTheme="minorHAnsi" w:cs="Calibri"/>
        </w:rPr>
        <w:t xml:space="preserve"> A, </w:t>
      </w:r>
      <w:proofErr w:type="spellStart"/>
      <w:r w:rsidRPr="009E0952">
        <w:rPr>
          <w:rFonts w:eastAsiaTheme="minorHAnsi" w:cs="Calibri"/>
        </w:rPr>
        <w:t>Engebretsen</w:t>
      </w:r>
      <w:proofErr w:type="spellEnd"/>
      <w:r w:rsidRPr="009E0952">
        <w:rPr>
          <w:rFonts w:eastAsiaTheme="minorHAnsi" w:cs="Calibri"/>
        </w:rPr>
        <w:t xml:space="preserve"> L, and </w:t>
      </w:r>
      <w:proofErr w:type="spellStart"/>
      <w:r w:rsidRPr="009E0952">
        <w:rPr>
          <w:rFonts w:eastAsiaTheme="minorHAnsi" w:cs="Calibri"/>
        </w:rPr>
        <w:t>Arøen</w:t>
      </w:r>
      <w:proofErr w:type="spellEnd"/>
      <w:r w:rsidRPr="009E0952">
        <w:rPr>
          <w:rFonts w:eastAsiaTheme="minorHAnsi" w:cs="Calibri"/>
        </w:rPr>
        <w:t xml:space="preserve"> A (2010) 'Focal cartilage defects in the knee impair quality of life as much as severe osteoarthritis: a comparison of knee injury and osteoarthritis outcome score in 4 patient categories scheduled for knee surgery', The American Journal of Sports Medicine, 38(2): 231-237</w:t>
      </w:r>
      <w:r w:rsidR="004A6D71">
        <w:rPr>
          <w:rFonts w:eastAsiaTheme="minorHAnsi" w:cs="Calibri"/>
        </w:rPr>
        <w:t xml:space="preserve"> </w:t>
      </w:r>
      <w:r w:rsidR="00386D7E" w:rsidRPr="00386D7E">
        <w:rPr>
          <w:rFonts w:eastAsiaTheme="minorHAnsi" w:cs="Calibri"/>
        </w:rPr>
        <w:t>doi:10.1177/0363546509352157.</w:t>
      </w:r>
    </w:p>
    <w:p w14:paraId="12BADD0C" w14:textId="28D32932" w:rsidR="00143BF9" w:rsidRDefault="007046DE" w:rsidP="00396D4A">
      <w:pPr>
        <w:autoSpaceDE w:val="0"/>
        <w:autoSpaceDN w:val="0"/>
        <w:adjustRightInd w:val="0"/>
        <w:spacing w:before="120" w:after="0" w:line="240" w:lineRule="auto"/>
        <w:ind w:left="720" w:hanging="720"/>
        <w:rPr>
          <w:rFonts w:eastAsiaTheme="minorHAnsi" w:cs="Calibri"/>
        </w:rPr>
      </w:pPr>
      <w:r w:rsidRPr="00143BF9">
        <w:rPr>
          <w:rFonts w:eastAsiaTheme="minorHAnsi" w:cs="Calibri"/>
        </w:rPr>
        <w:t xml:space="preserve">Horas U, </w:t>
      </w:r>
      <w:proofErr w:type="spellStart"/>
      <w:r w:rsidRPr="00143BF9">
        <w:rPr>
          <w:rFonts w:eastAsiaTheme="minorHAnsi" w:cs="Calibri"/>
        </w:rPr>
        <w:t>Pelinkovic</w:t>
      </w:r>
      <w:proofErr w:type="spellEnd"/>
      <w:r w:rsidRPr="00143BF9">
        <w:rPr>
          <w:rFonts w:eastAsiaTheme="minorHAnsi" w:cs="Calibri"/>
        </w:rPr>
        <w:t xml:space="preserve"> D, Herr G, Aigner T, and </w:t>
      </w:r>
      <w:proofErr w:type="spellStart"/>
      <w:r w:rsidRPr="00143BF9">
        <w:rPr>
          <w:rFonts w:eastAsiaTheme="minorHAnsi" w:cs="Calibri"/>
        </w:rPr>
        <w:t>Schnettler</w:t>
      </w:r>
      <w:proofErr w:type="spellEnd"/>
      <w:r w:rsidRPr="00143BF9">
        <w:rPr>
          <w:rFonts w:eastAsiaTheme="minorHAnsi" w:cs="Calibri"/>
        </w:rPr>
        <w:t xml:space="preserve"> R (2003) 'Autologous chondrocyte implantation and osteochondral cylinder transplantation in cartilage repair of the knee joint. A prospective, comparative trial', Journal of Bone and Joint Surgery, 85(2): 185-192, </w:t>
      </w:r>
      <w:r w:rsidR="00DD7C07">
        <w:rPr>
          <w:rFonts w:eastAsiaTheme="minorHAnsi" w:cs="Calibri"/>
        </w:rPr>
        <w:t>doi:</w:t>
      </w:r>
      <w:r w:rsidRPr="00143BF9">
        <w:rPr>
          <w:rFonts w:eastAsiaTheme="minorHAnsi" w:cs="Calibri"/>
        </w:rPr>
        <w:t>10.2106/00004623-200302000-00001.</w:t>
      </w:r>
    </w:p>
    <w:p w14:paraId="1CBA0786" w14:textId="7E85F892" w:rsidR="0085001D" w:rsidRDefault="007046DE" w:rsidP="00396D4A">
      <w:pPr>
        <w:autoSpaceDE w:val="0"/>
        <w:autoSpaceDN w:val="0"/>
        <w:adjustRightInd w:val="0"/>
        <w:spacing w:before="120" w:after="0" w:line="240" w:lineRule="auto"/>
        <w:ind w:left="720" w:hanging="720"/>
        <w:rPr>
          <w:rFonts w:eastAsiaTheme="minorHAnsi" w:cs="Calibri"/>
        </w:rPr>
      </w:pPr>
      <w:proofErr w:type="spellStart"/>
      <w:r w:rsidRPr="0085001D">
        <w:rPr>
          <w:rFonts w:eastAsiaTheme="minorHAnsi" w:cs="Calibri"/>
        </w:rPr>
        <w:t>Jarecki</w:t>
      </w:r>
      <w:proofErr w:type="spellEnd"/>
      <w:r w:rsidRPr="0085001D">
        <w:rPr>
          <w:rFonts w:eastAsiaTheme="minorHAnsi" w:cs="Calibri"/>
        </w:rPr>
        <w:t xml:space="preserve"> J, </w:t>
      </w:r>
      <w:proofErr w:type="spellStart"/>
      <w:r w:rsidRPr="0085001D">
        <w:rPr>
          <w:rFonts w:eastAsiaTheme="minorHAnsi" w:cs="Calibri"/>
        </w:rPr>
        <w:t>Waśko</w:t>
      </w:r>
      <w:proofErr w:type="spellEnd"/>
      <w:r w:rsidRPr="0085001D">
        <w:rPr>
          <w:rFonts w:eastAsiaTheme="minorHAnsi" w:cs="Calibri"/>
        </w:rPr>
        <w:t xml:space="preserve"> MK, </w:t>
      </w:r>
      <w:proofErr w:type="spellStart"/>
      <w:r w:rsidRPr="0085001D">
        <w:rPr>
          <w:rFonts w:eastAsiaTheme="minorHAnsi" w:cs="Calibri"/>
        </w:rPr>
        <w:t>Widuchowski</w:t>
      </w:r>
      <w:proofErr w:type="spellEnd"/>
      <w:r w:rsidRPr="0085001D">
        <w:rPr>
          <w:rFonts w:eastAsiaTheme="minorHAnsi" w:cs="Calibri"/>
        </w:rPr>
        <w:t xml:space="preserve"> W, </w:t>
      </w:r>
      <w:proofErr w:type="spellStart"/>
      <w:r w:rsidRPr="0085001D">
        <w:rPr>
          <w:rFonts w:eastAsiaTheme="minorHAnsi" w:cs="Calibri"/>
        </w:rPr>
        <w:t>Tomczyk-Warunek</w:t>
      </w:r>
      <w:proofErr w:type="spellEnd"/>
      <w:r w:rsidRPr="0085001D">
        <w:rPr>
          <w:rFonts w:eastAsiaTheme="minorHAnsi" w:cs="Calibri"/>
        </w:rPr>
        <w:t xml:space="preserve"> A, </w:t>
      </w:r>
      <w:proofErr w:type="spellStart"/>
      <w:r w:rsidRPr="0085001D">
        <w:rPr>
          <w:rFonts w:eastAsiaTheme="minorHAnsi" w:cs="Calibri"/>
        </w:rPr>
        <w:t>Wójciak</w:t>
      </w:r>
      <w:proofErr w:type="spellEnd"/>
      <w:r w:rsidRPr="0085001D">
        <w:rPr>
          <w:rFonts w:eastAsiaTheme="minorHAnsi" w:cs="Calibri"/>
        </w:rPr>
        <w:t xml:space="preserve"> M, Sowa I, and </w:t>
      </w:r>
      <w:proofErr w:type="spellStart"/>
      <w:r w:rsidRPr="0085001D">
        <w:rPr>
          <w:rFonts w:eastAsiaTheme="minorHAnsi" w:cs="Calibri"/>
        </w:rPr>
        <w:t>Blicharski</w:t>
      </w:r>
      <w:proofErr w:type="spellEnd"/>
      <w:r w:rsidRPr="0085001D">
        <w:rPr>
          <w:rFonts w:eastAsiaTheme="minorHAnsi" w:cs="Calibri"/>
        </w:rPr>
        <w:t xml:space="preserve"> T (2023) 'Knee Cartilage Lesion Management-Current Trends in Clinical Practice', J Clin Med, 12(20), </w:t>
      </w:r>
      <w:r w:rsidR="00DD7C07">
        <w:rPr>
          <w:rFonts w:eastAsiaTheme="minorHAnsi" w:cs="Calibri"/>
        </w:rPr>
        <w:t>doi:</w:t>
      </w:r>
      <w:r w:rsidRPr="0085001D">
        <w:rPr>
          <w:rFonts w:eastAsiaTheme="minorHAnsi" w:cs="Calibri"/>
        </w:rPr>
        <w:t>10.3390/jcm12206434.</w:t>
      </w:r>
    </w:p>
    <w:p w14:paraId="4ABAF8C1" w14:textId="05A2424E" w:rsidR="003E2A26" w:rsidRDefault="007046DE" w:rsidP="00396D4A">
      <w:pPr>
        <w:autoSpaceDE w:val="0"/>
        <w:autoSpaceDN w:val="0"/>
        <w:adjustRightInd w:val="0"/>
        <w:spacing w:before="120" w:after="0" w:line="240" w:lineRule="auto"/>
        <w:ind w:left="720" w:hanging="720"/>
        <w:rPr>
          <w:rFonts w:eastAsiaTheme="minorHAnsi" w:cs="Calibri"/>
        </w:rPr>
      </w:pPr>
      <w:r w:rsidRPr="003E2A26">
        <w:rPr>
          <w:rFonts w:eastAsiaTheme="minorHAnsi" w:cs="Calibri"/>
        </w:rPr>
        <w:t xml:space="preserve">Kim J, Park J, Song SY, and Kim E (2022) 'Advanced Therapy medicinal products for autologous chondrocytes and comparison of regulatory systems in target countries', Regenerative Therapy, 20: 126-137, </w:t>
      </w:r>
      <w:proofErr w:type="spellStart"/>
      <w:r w:rsidRPr="003E2A26">
        <w:rPr>
          <w:rFonts w:eastAsiaTheme="minorHAnsi" w:cs="Calibri"/>
        </w:rPr>
        <w:t>doi:https</w:t>
      </w:r>
      <w:proofErr w:type="spellEnd"/>
      <w:r w:rsidRPr="003E2A26">
        <w:rPr>
          <w:rFonts w:eastAsiaTheme="minorHAnsi" w:cs="Calibri"/>
        </w:rPr>
        <w:t>://doi.org/10.1016/j.reth.2022.04.004.</w:t>
      </w:r>
    </w:p>
    <w:p w14:paraId="2538D68A" w14:textId="26ED7881" w:rsidR="00EE55F7" w:rsidRDefault="007046DE" w:rsidP="00396D4A">
      <w:pPr>
        <w:autoSpaceDE w:val="0"/>
        <w:autoSpaceDN w:val="0"/>
        <w:adjustRightInd w:val="0"/>
        <w:spacing w:before="120" w:after="0" w:line="240" w:lineRule="auto"/>
        <w:ind w:left="720" w:hanging="720"/>
        <w:rPr>
          <w:rFonts w:eastAsiaTheme="minorHAnsi" w:cs="Calibri"/>
        </w:rPr>
      </w:pPr>
      <w:r w:rsidRPr="00EE55F7">
        <w:rPr>
          <w:rFonts w:eastAsiaTheme="minorHAnsi" w:cs="Calibri"/>
        </w:rPr>
        <w:t xml:space="preserve">Matsushita T, </w:t>
      </w:r>
      <w:proofErr w:type="spellStart"/>
      <w:r w:rsidRPr="00EE55F7">
        <w:rPr>
          <w:rFonts w:eastAsiaTheme="minorHAnsi" w:cs="Calibri"/>
        </w:rPr>
        <w:t>Tokura</w:t>
      </w:r>
      <w:proofErr w:type="spellEnd"/>
      <w:r w:rsidRPr="00EE55F7">
        <w:rPr>
          <w:rFonts w:eastAsiaTheme="minorHAnsi" w:cs="Calibri"/>
        </w:rPr>
        <w:t xml:space="preserve"> T, </w:t>
      </w:r>
      <w:proofErr w:type="spellStart"/>
      <w:r w:rsidRPr="00EE55F7">
        <w:rPr>
          <w:rFonts w:eastAsiaTheme="minorHAnsi" w:cs="Calibri"/>
        </w:rPr>
        <w:t>Okimura</w:t>
      </w:r>
      <w:proofErr w:type="spellEnd"/>
      <w:r w:rsidRPr="00EE55F7">
        <w:rPr>
          <w:rFonts w:eastAsiaTheme="minorHAnsi" w:cs="Calibri"/>
        </w:rPr>
        <w:t xml:space="preserve"> K, Sano S, Nishida K, Nagai K, and Hoshino Y (2023) 'Surgical treatment of cartilage lesions in the knee: A narrative review', Journal of Joint Surgery and Research, 1(1): 70-79, doi:https://doi.org/https://doi.org/10.1016/j.jjoisr.2023.02.001.</w:t>
      </w:r>
    </w:p>
    <w:p w14:paraId="17A718D8" w14:textId="281E15D8" w:rsidR="00830193" w:rsidRDefault="007046DE" w:rsidP="00396D4A">
      <w:pPr>
        <w:autoSpaceDE w:val="0"/>
        <w:autoSpaceDN w:val="0"/>
        <w:adjustRightInd w:val="0"/>
        <w:spacing w:before="120" w:after="0" w:line="240" w:lineRule="auto"/>
        <w:ind w:left="720" w:hanging="720"/>
        <w:rPr>
          <w:rFonts w:eastAsiaTheme="minorHAnsi" w:cs="Calibri"/>
        </w:rPr>
      </w:pPr>
      <w:r>
        <w:rPr>
          <w:rFonts w:eastAsiaTheme="minorHAnsi" w:cs="Calibri"/>
        </w:rPr>
        <w:t xml:space="preserve">Medina G, and Görtz S (2023) 'Osteochondral techniques: where are we now?', </w:t>
      </w:r>
      <w:r>
        <w:rPr>
          <w:rFonts w:eastAsiaTheme="minorHAnsi" w:cs="Calibri"/>
          <w:i/>
          <w:iCs/>
        </w:rPr>
        <w:t>Journal of Cartilage &amp; Joint Preservation</w:t>
      </w:r>
      <w:r>
        <w:rPr>
          <w:rFonts w:eastAsiaTheme="minorHAnsi" w:cs="Calibri"/>
        </w:rPr>
        <w:t>,</w:t>
      </w:r>
      <w:r>
        <w:rPr>
          <w:rFonts w:eastAsiaTheme="minorHAnsi" w:cs="Calibri"/>
          <w:i/>
          <w:iCs/>
        </w:rPr>
        <w:t xml:space="preserve"> </w:t>
      </w:r>
      <w:r>
        <w:rPr>
          <w:rFonts w:eastAsiaTheme="minorHAnsi" w:cs="Calibri"/>
        </w:rPr>
        <w:t xml:space="preserve">3(1): 100105, </w:t>
      </w:r>
      <w:proofErr w:type="spellStart"/>
      <w:r w:rsidR="00DD7C07">
        <w:rPr>
          <w:rFonts w:eastAsiaTheme="minorHAnsi" w:cs="Calibri"/>
        </w:rPr>
        <w:t>doi:</w:t>
      </w:r>
      <w:r>
        <w:rPr>
          <w:rFonts w:eastAsiaTheme="minorHAnsi" w:cs="Calibri"/>
        </w:rPr>
        <w:t>https</w:t>
      </w:r>
      <w:proofErr w:type="spellEnd"/>
      <w:r>
        <w:rPr>
          <w:rFonts w:eastAsiaTheme="minorHAnsi" w:cs="Calibri"/>
        </w:rPr>
        <w:t xml:space="preserve">://doi.org/10.1016/j.jcjp.2023.100105. </w:t>
      </w:r>
    </w:p>
    <w:p w14:paraId="164EC53F" w14:textId="05141E17" w:rsidR="006E2C1A" w:rsidRDefault="007046DE" w:rsidP="00396D4A">
      <w:pPr>
        <w:autoSpaceDE w:val="0"/>
        <w:autoSpaceDN w:val="0"/>
        <w:adjustRightInd w:val="0"/>
        <w:spacing w:before="120" w:after="0" w:line="240" w:lineRule="auto"/>
        <w:ind w:left="720" w:hanging="720"/>
        <w:rPr>
          <w:rFonts w:eastAsiaTheme="minorHAnsi" w:cs="Calibri"/>
        </w:rPr>
      </w:pPr>
      <w:r w:rsidRPr="006E2C1A">
        <w:rPr>
          <w:rFonts w:eastAsiaTheme="minorHAnsi" w:cs="Calibri"/>
        </w:rPr>
        <w:lastRenderedPageBreak/>
        <w:t xml:space="preserve">Mistry H, Connock M, Pink J, </w:t>
      </w:r>
      <w:proofErr w:type="spellStart"/>
      <w:r w:rsidRPr="006E2C1A">
        <w:rPr>
          <w:rFonts w:eastAsiaTheme="minorHAnsi" w:cs="Calibri"/>
        </w:rPr>
        <w:t>Shyangdan</w:t>
      </w:r>
      <w:proofErr w:type="spellEnd"/>
      <w:r w:rsidRPr="006E2C1A">
        <w:rPr>
          <w:rFonts w:eastAsiaTheme="minorHAnsi" w:cs="Calibri"/>
        </w:rPr>
        <w:t xml:space="preserve"> D, </w:t>
      </w:r>
      <w:proofErr w:type="spellStart"/>
      <w:r w:rsidRPr="006E2C1A">
        <w:rPr>
          <w:rFonts w:eastAsiaTheme="minorHAnsi" w:cs="Calibri"/>
        </w:rPr>
        <w:t>Clar</w:t>
      </w:r>
      <w:proofErr w:type="spellEnd"/>
      <w:r w:rsidRPr="006E2C1A">
        <w:rPr>
          <w:rFonts w:eastAsiaTheme="minorHAnsi" w:cs="Calibri"/>
        </w:rPr>
        <w:t xml:space="preserve"> C, Royle P, Court R, Biant LC et al. 'Autologous chondrocyte implantation in the knee: systematic review and economic evaluation', (2046-4924 (Electronic))</w:t>
      </w:r>
    </w:p>
    <w:p w14:paraId="08FCB3B8" w14:textId="4204E3B8" w:rsidR="00296B1E" w:rsidRDefault="007046DE" w:rsidP="00396D4A">
      <w:pPr>
        <w:autoSpaceDE w:val="0"/>
        <w:autoSpaceDN w:val="0"/>
        <w:adjustRightInd w:val="0"/>
        <w:spacing w:before="120" w:after="0" w:line="240" w:lineRule="auto"/>
        <w:ind w:left="720" w:hanging="720"/>
        <w:rPr>
          <w:rFonts w:eastAsiaTheme="minorHAnsi" w:cs="Calibri"/>
        </w:rPr>
      </w:pPr>
      <w:r w:rsidRPr="00296B1E">
        <w:rPr>
          <w:rFonts w:eastAsiaTheme="minorHAnsi" w:cs="Calibri"/>
        </w:rPr>
        <w:t xml:space="preserve">Mistry H, Connock M, Pink J, </w:t>
      </w:r>
      <w:proofErr w:type="spellStart"/>
      <w:r w:rsidRPr="00296B1E">
        <w:rPr>
          <w:rFonts w:eastAsiaTheme="minorHAnsi" w:cs="Calibri"/>
        </w:rPr>
        <w:t>Shyangdan</w:t>
      </w:r>
      <w:proofErr w:type="spellEnd"/>
      <w:r w:rsidRPr="00296B1E">
        <w:rPr>
          <w:rFonts w:eastAsiaTheme="minorHAnsi" w:cs="Calibri"/>
        </w:rPr>
        <w:t xml:space="preserve"> D, </w:t>
      </w:r>
      <w:proofErr w:type="spellStart"/>
      <w:r w:rsidRPr="00296B1E">
        <w:rPr>
          <w:rFonts w:eastAsiaTheme="minorHAnsi" w:cs="Calibri"/>
        </w:rPr>
        <w:t>Clar</w:t>
      </w:r>
      <w:proofErr w:type="spellEnd"/>
      <w:r w:rsidRPr="00296B1E">
        <w:rPr>
          <w:rFonts w:eastAsiaTheme="minorHAnsi" w:cs="Calibri"/>
        </w:rPr>
        <w:t xml:space="preserve"> C, Royle P, Court R, Biant LC et al. (2017) 'Autologous chondrocyte implantation in the knee: systematic review and economic evaluation', Health Technol Assess. National </w:t>
      </w:r>
      <w:r w:rsidR="007048FC" w:rsidRPr="00296B1E">
        <w:rPr>
          <w:rFonts w:eastAsiaTheme="minorHAnsi" w:cs="Calibri"/>
        </w:rPr>
        <w:t>Institute</w:t>
      </w:r>
      <w:r w:rsidRPr="00296B1E">
        <w:rPr>
          <w:rFonts w:eastAsiaTheme="minorHAnsi" w:cs="Calibri"/>
        </w:rPr>
        <w:t xml:space="preserve"> for Health </w:t>
      </w:r>
      <w:r w:rsidR="007048FC">
        <w:rPr>
          <w:rFonts w:eastAsiaTheme="minorHAnsi" w:cs="Calibri"/>
        </w:rPr>
        <w:t>Researc</w:t>
      </w:r>
      <w:r w:rsidR="009410B4">
        <w:rPr>
          <w:rFonts w:eastAsiaTheme="minorHAnsi" w:cs="Calibri"/>
        </w:rPr>
        <w:t>h.</w:t>
      </w:r>
      <w:r w:rsidRPr="00296B1E">
        <w:rPr>
          <w:rFonts w:eastAsiaTheme="minorHAnsi" w:cs="Calibri"/>
        </w:rPr>
        <w:t xml:space="preserve"> 21(6), </w:t>
      </w:r>
      <w:proofErr w:type="spellStart"/>
      <w:r w:rsidR="00DD7C07">
        <w:rPr>
          <w:rFonts w:eastAsiaTheme="minorHAnsi" w:cs="Calibri"/>
        </w:rPr>
        <w:t>doi:</w:t>
      </w:r>
      <w:r w:rsidRPr="00296B1E">
        <w:rPr>
          <w:rFonts w:eastAsiaTheme="minorHAnsi" w:cs="Calibri"/>
        </w:rPr>
        <w:t>doi</w:t>
      </w:r>
      <w:proofErr w:type="spellEnd"/>
      <w:r w:rsidRPr="00296B1E">
        <w:rPr>
          <w:rFonts w:eastAsiaTheme="minorHAnsi" w:cs="Calibri"/>
        </w:rPr>
        <w:t>: 10.3310/hta21060.</w:t>
      </w:r>
    </w:p>
    <w:p w14:paraId="4DD2B02F" w14:textId="4870B50E" w:rsidR="00F71471" w:rsidRDefault="007046DE" w:rsidP="00396D4A">
      <w:pPr>
        <w:autoSpaceDE w:val="0"/>
        <w:autoSpaceDN w:val="0"/>
        <w:adjustRightInd w:val="0"/>
        <w:spacing w:before="120" w:after="0" w:line="240" w:lineRule="auto"/>
        <w:ind w:left="720" w:hanging="720"/>
        <w:rPr>
          <w:rFonts w:eastAsiaTheme="minorHAnsi" w:cs="Calibri"/>
        </w:rPr>
      </w:pPr>
      <w:proofErr w:type="spellStart"/>
      <w:r w:rsidRPr="009033D1">
        <w:rPr>
          <w:rFonts w:eastAsiaTheme="minorHAnsi" w:cs="Calibri"/>
        </w:rPr>
        <w:t>Randsborg</w:t>
      </w:r>
      <w:proofErr w:type="spellEnd"/>
      <w:r w:rsidRPr="009033D1">
        <w:rPr>
          <w:rFonts w:eastAsiaTheme="minorHAnsi" w:cs="Calibri"/>
        </w:rPr>
        <w:t xml:space="preserve"> PH, </w:t>
      </w:r>
      <w:proofErr w:type="spellStart"/>
      <w:r w:rsidRPr="009033D1">
        <w:rPr>
          <w:rFonts w:eastAsiaTheme="minorHAnsi" w:cs="Calibri"/>
        </w:rPr>
        <w:t>Brinchmann</w:t>
      </w:r>
      <w:proofErr w:type="spellEnd"/>
      <w:r w:rsidRPr="009033D1">
        <w:rPr>
          <w:rFonts w:eastAsiaTheme="minorHAnsi" w:cs="Calibri"/>
        </w:rPr>
        <w:t xml:space="preserve"> J, </w:t>
      </w:r>
      <w:proofErr w:type="spellStart"/>
      <w:r w:rsidRPr="009033D1">
        <w:rPr>
          <w:rFonts w:eastAsiaTheme="minorHAnsi" w:cs="Calibri"/>
        </w:rPr>
        <w:t>Løken</w:t>
      </w:r>
      <w:proofErr w:type="spellEnd"/>
      <w:r w:rsidRPr="009033D1">
        <w:rPr>
          <w:rFonts w:eastAsiaTheme="minorHAnsi" w:cs="Calibri"/>
        </w:rPr>
        <w:t xml:space="preserve"> S, </w:t>
      </w:r>
      <w:proofErr w:type="spellStart"/>
      <w:r w:rsidRPr="009033D1">
        <w:rPr>
          <w:rFonts w:eastAsiaTheme="minorHAnsi" w:cs="Calibri"/>
        </w:rPr>
        <w:t>Hanvold</w:t>
      </w:r>
      <w:proofErr w:type="spellEnd"/>
      <w:r w:rsidRPr="009033D1">
        <w:rPr>
          <w:rFonts w:eastAsiaTheme="minorHAnsi" w:cs="Calibri"/>
        </w:rPr>
        <w:t xml:space="preserve"> HA, </w:t>
      </w:r>
      <w:proofErr w:type="spellStart"/>
      <w:r w:rsidRPr="009033D1">
        <w:rPr>
          <w:rFonts w:eastAsiaTheme="minorHAnsi" w:cs="Calibri"/>
        </w:rPr>
        <w:t>Aae</w:t>
      </w:r>
      <w:proofErr w:type="spellEnd"/>
      <w:r w:rsidRPr="009033D1">
        <w:rPr>
          <w:rFonts w:eastAsiaTheme="minorHAnsi" w:cs="Calibri"/>
        </w:rPr>
        <w:t xml:space="preserve"> TF, and </w:t>
      </w:r>
      <w:proofErr w:type="spellStart"/>
      <w:r w:rsidRPr="009033D1">
        <w:rPr>
          <w:rFonts w:eastAsiaTheme="minorHAnsi" w:cs="Calibri"/>
        </w:rPr>
        <w:t>Årøen</w:t>
      </w:r>
      <w:proofErr w:type="spellEnd"/>
      <w:r w:rsidRPr="009033D1">
        <w:rPr>
          <w:rFonts w:eastAsiaTheme="minorHAnsi" w:cs="Calibri"/>
        </w:rPr>
        <w:t xml:space="preserve"> A (2016) 'Focal cartilage defects in the knee -a randomized controlled trial comparing autologous chondrocyte implantation with arthroscopic debridement', BMC Musculoskeletal Disorders, 17(1), </w:t>
      </w:r>
      <w:r w:rsidR="00DD7C07">
        <w:rPr>
          <w:rFonts w:eastAsiaTheme="minorHAnsi" w:cs="Calibri"/>
        </w:rPr>
        <w:t>doi:</w:t>
      </w:r>
      <w:r w:rsidRPr="009033D1">
        <w:rPr>
          <w:rFonts w:eastAsiaTheme="minorHAnsi" w:cs="Calibri"/>
        </w:rPr>
        <w:t>10.1186/s12891-016-0969-z.</w:t>
      </w:r>
    </w:p>
    <w:p w14:paraId="74C73A1D" w14:textId="48D75AB3" w:rsidR="007F04F3" w:rsidRDefault="007046DE" w:rsidP="00396D4A">
      <w:pPr>
        <w:autoSpaceDE w:val="0"/>
        <w:autoSpaceDN w:val="0"/>
        <w:adjustRightInd w:val="0"/>
        <w:spacing w:before="120" w:after="0" w:line="240" w:lineRule="auto"/>
        <w:ind w:left="720" w:hanging="720"/>
        <w:rPr>
          <w:rFonts w:eastAsiaTheme="minorHAnsi" w:cs="Calibri"/>
        </w:rPr>
      </w:pPr>
      <w:r w:rsidRPr="007F04F3">
        <w:rPr>
          <w:rFonts w:eastAsiaTheme="minorHAnsi" w:cs="Calibri"/>
        </w:rPr>
        <w:t xml:space="preserve">Salzmann GM, Paul J, Bauer JS, </w:t>
      </w:r>
      <w:proofErr w:type="spellStart"/>
      <w:r w:rsidRPr="007F04F3">
        <w:rPr>
          <w:rFonts w:eastAsiaTheme="minorHAnsi" w:cs="Calibri"/>
        </w:rPr>
        <w:t>Woertler</w:t>
      </w:r>
      <w:proofErr w:type="spellEnd"/>
      <w:r w:rsidRPr="007F04F3">
        <w:rPr>
          <w:rFonts w:eastAsiaTheme="minorHAnsi" w:cs="Calibri"/>
        </w:rPr>
        <w:t xml:space="preserve"> K, </w:t>
      </w:r>
      <w:proofErr w:type="spellStart"/>
      <w:r w:rsidRPr="007F04F3">
        <w:rPr>
          <w:rFonts w:eastAsiaTheme="minorHAnsi" w:cs="Calibri"/>
        </w:rPr>
        <w:t>Sauerschnig</w:t>
      </w:r>
      <w:proofErr w:type="spellEnd"/>
      <w:r w:rsidRPr="007F04F3">
        <w:rPr>
          <w:rFonts w:eastAsiaTheme="minorHAnsi" w:cs="Calibri"/>
        </w:rPr>
        <w:t xml:space="preserve"> M, Landwehr S, Imhoff AB, and </w:t>
      </w:r>
      <w:proofErr w:type="spellStart"/>
      <w:r w:rsidRPr="007F04F3">
        <w:rPr>
          <w:rFonts w:eastAsiaTheme="minorHAnsi" w:cs="Calibri"/>
        </w:rPr>
        <w:t>Schöttle</w:t>
      </w:r>
      <w:proofErr w:type="spellEnd"/>
      <w:r w:rsidRPr="007F04F3">
        <w:rPr>
          <w:rFonts w:eastAsiaTheme="minorHAnsi" w:cs="Calibri"/>
        </w:rPr>
        <w:t xml:space="preserve"> PB (2009) 'T2 assessment and clinical outcome following autologous matrix-assisted chondrocyte and osteochondral autograft transplantation', Osteoarthritis Cartilage, 17(12): 1576-1582, </w:t>
      </w:r>
      <w:r w:rsidR="00DD7C07">
        <w:rPr>
          <w:rFonts w:eastAsiaTheme="minorHAnsi" w:cs="Calibri"/>
        </w:rPr>
        <w:t>doi:</w:t>
      </w:r>
      <w:r w:rsidRPr="007F04F3">
        <w:rPr>
          <w:rFonts w:eastAsiaTheme="minorHAnsi" w:cs="Calibri"/>
        </w:rPr>
        <w:t>10.1016/j.joca.2009.07.010.</w:t>
      </w:r>
    </w:p>
    <w:p w14:paraId="34932339" w14:textId="3233EA79" w:rsidR="00D33090" w:rsidRDefault="007046DE" w:rsidP="00396D4A">
      <w:pPr>
        <w:autoSpaceDE w:val="0"/>
        <w:autoSpaceDN w:val="0"/>
        <w:adjustRightInd w:val="0"/>
        <w:spacing w:before="120" w:after="0" w:line="240" w:lineRule="auto"/>
        <w:ind w:left="720" w:hanging="720"/>
        <w:rPr>
          <w:lang w:val="en-US"/>
        </w:rPr>
      </w:pPr>
      <w:r w:rsidRPr="00D33090">
        <w:rPr>
          <w:lang w:val="en-US"/>
        </w:rPr>
        <w:t xml:space="preserve">Saris D, Price A, </w:t>
      </w:r>
      <w:proofErr w:type="spellStart"/>
      <w:r w:rsidRPr="00D33090">
        <w:rPr>
          <w:lang w:val="en-US"/>
        </w:rPr>
        <w:t>Widuchowski</w:t>
      </w:r>
      <w:proofErr w:type="spellEnd"/>
      <w:r w:rsidRPr="00D33090">
        <w:rPr>
          <w:lang w:val="en-US"/>
        </w:rPr>
        <w:t xml:space="preserve"> W, Bertrand-Marchand M, Caron J, </w:t>
      </w:r>
      <w:proofErr w:type="spellStart"/>
      <w:r w:rsidRPr="00D33090">
        <w:rPr>
          <w:lang w:val="en-US"/>
        </w:rPr>
        <w:t>Drogset</w:t>
      </w:r>
      <w:proofErr w:type="spellEnd"/>
      <w:r w:rsidRPr="00D33090">
        <w:rPr>
          <w:lang w:val="en-US"/>
        </w:rPr>
        <w:t xml:space="preserve"> JO, </w:t>
      </w:r>
      <w:proofErr w:type="spellStart"/>
      <w:r w:rsidRPr="00D33090">
        <w:rPr>
          <w:lang w:val="en-US"/>
        </w:rPr>
        <w:t>Emans</w:t>
      </w:r>
      <w:proofErr w:type="spellEnd"/>
      <w:r w:rsidRPr="00D33090">
        <w:rPr>
          <w:lang w:val="en-US"/>
        </w:rPr>
        <w:t xml:space="preserve"> P, </w:t>
      </w:r>
      <w:proofErr w:type="spellStart"/>
      <w:r w:rsidRPr="00D33090">
        <w:rPr>
          <w:lang w:val="en-US"/>
        </w:rPr>
        <w:t>Podskubka</w:t>
      </w:r>
      <w:proofErr w:type="spellEnd"/>
      <w:r w:rsidRPr="00D33090">
        <w:rPr>
          <w:lang w:val="en-US"/>
        </w:rPr>
        <w:t xml:space="preserve"> A et al. (2014) 'Matrix-Applied Characterized Autologous Cultured Chondrocytes Versus Microfracture: Two-Year Follow-up of a Prospective Randomized Trial', The American Journal of Sports Medicine, 42(6): 1384-1394, </w:t>
      </w:r>
      <w:r w:rsidR="00DD7C07">
        <w:rPr>
          <w:lang w:val="en-US"/>
        </w:rPr>
        <w:t>doi:</w:t>
      </w:r>
      <w:r w:rsidRPr="00D33090">
        <w:rPr>
          <w:lang w:val="en-US"/>
        </w:rPr>
        <w:t>10.1177/0363546514528093.</w:t>
      </w:r>
    </w:p>
    <w:p w14:paraId="5F58EAA8" w14:textId="65A33E3F" w:rsidR="004B1229" w:rsidRDefault="007046DE" w:rsidP="00396D4A">
      <w:pPr>
        <w:autoSpaceDE w:val="0"/>
        <w:autoSpaceDN w:val="0"/>
        <w:adjustRightInd w:val="0"/>
        <w:spacing w:before="120" w:after="0" w:line="240" w:lineRule="auto"/>
        <w:ind w:left="720" w:hanging="720"/>
        <w:rPr>
          <w:lang w:val="en-US"/>
        </w:rPr>
      </w:pPr>
      <w:r>
        <w:rPr>
          <w:lang w:val="en-US"/>
        </w:rPr>
        <w:t>TA477</w:t>
      </w:r>
      <w:r w:rsidR="00923D8C">
        <w:rPr>
          <w:lang w:val="en-US"/>
        </w:rPr>
        <w:t xml:space="preserve"> (2017)</w:t>
      </w:r>
      <w:r>
        <w:rPr>
          <w:lang w:val="en-US"/>
        </w:rPr>
        <w:t xml:space="preserve">, </w:t>
      </w:r>
      <w:r w:rsidRPr="008F590F">
        <w:rPr>
          <w:lang w:val="en-US"/>
        </w:rPr>
        <w:t>Autologous chondrocyte implantation for treating symptomatic articular cartilage defects of the knee</w:t>
      </w:r>
      <w:r>
        <w:rPr>
          <w:lang w:val="en-US"/>
        </w:rPr>
        <w:t xml:space="preserve">. </w:t>
      </w:r>
      <w:hyperlink r:id="rId24" w:tooltip="Link to TA477 on NICE website" w:history="1">
        <w:r w:rsidR="000B24DA">
          <w:rPr>
            <w:rStyle w:val="Hyperlink"/>
            <w:rFonts w:ascii="Calibri" w:hAnsi="Calibri"/>
            <w:lang w:val="en-US"/>
          </w:rPr>
          <w:t>http://www.nice.org.uk/guidance/ta477 accessed 04 March 2024</w:t>
        </w:r>
      </w:hyperlink>
      <w:r>
        <w:rPr>
          <w:lang w:val="en-US"/>
        </w:rPr>
        <w:t>.</w:t>
      </w:r>
    </w:p>
    <w:p w14:paraId="1FAC4F75" w14:textId="61BC0D44" w:rsidR="002E6AD8" w:rsidRPr="002E6AD8" w:rsidRDefault="007046DE" w:rsidP="008777BC">
      <w:pPr>
        <w:autoSpaceDE w:val="0"/>
        <w:autoSpaceDN w:val="0"/>
        <w:adjustRightInd w:val="0"/>
        <w:spacing w:before="120" w:after="0" w:line="240" w:lineRule="auto"/>
        <w:ind w:left="720" w:hanging="720"/>
      </w:pPr>
      <w:r>
        <w:t>TA508 (201</w:t>
      </w:r>
      <w:r w:rsidR="00923D8C">
        <w:t>8)</w:t>
      </w:r>
      <w:r>
        <w:t xml:space="preserve">, </w:t>
      </w:r>
      <w:r w:rsidRPr="007364A3">
        <w:t xml:space="preserve">Autologous chondrocyte implantation using </w:t>
      </w:r>
      <w:proofErr w:type="spellStart"/>
      <w:r w:rsidRPr="007364A3">
        <w:t>chondrosphere</w:t>
      </w:r>
      <w:proofErr w:type="spellEnd"/>
      <w:r w:rsidRPr="007364A3">
        <w:t xml:space="preserve"> for treating symptomatic articular cartilage defects of the knee</w:t>
      </w:r>
      <w:r>
        <w:t xml:space="preserve">. </w:t>
      </w:r>
      <w:hyperlink r:id="rId25" w:tooltip="Link to TA508 on NICE website" w:history="1">
        <w:r w:rsidR="000B24DA">
          <w:rPr>
            <w:rStyle w:val="Hyperlink"/>
            <w:rFonts w:ascii="Calibri" w:hAnsi="Calibri"/>
          </w:rPr>
          <w:t>http://www.nice.org.uk/guidance/ta508 accessed 04 March 2024</w:t>
        </w:r>
      </w:hyperlink>
      <w:r>
        <w:t>.</w:t>
      </w:r>
    </w:p>
    <w:sectPr w:rsidR="002E6AD8" w:rsidRPr="002E6AD8" w:rsidSect="00EC692D">
      <w:headerReference w:type="default" r:id="rId26"/>
      <w:footerReference w:type="even" r:id="rId27"/>
      <w:footerReference w:type="default" r:id="rId28"/>
      <w:pgSz w:w="11906" w:h="16838"/>
      <w:pgMar w:top="682" w:right="1134" w:bottom="1021"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07769" w14:textId="77777777" w:rsidR="008E1FE0" w:rsidRDefault="008E1FE0">
      <w:pPr>
        <w:spacing w:after="0" w:line="240" w:lineRule="auto"/>
      </w:pPr>
      <w:r>
        <w:separator/>
      </w:r>
    </w:p>
  </w:endnote>
  <w:endnote w:type="continuationSeparator" w:id="0">
    <w:p w14:paraId="05929A91" w14:textId="77777777" w:rsidR="008E1FE0" w:rsidRDefault="008E1FE0">
      <w:pPr>
        <w:spacing w:after="0" w:line="240" w:lineRule="auto"/>
      </w:pPr>
      <w:r>
        <w:continuationSeparator/>
      </w:r>
    </w:p>
  </w:endnote>
  <w:endnote w:type="continuationNotice" w:id="1">
    <w:p w14:paraId="1387B76C" w14:textId="77777777" w:rsidR="008E1FE0" w:rsidRDefault="008E1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D3D2" w14:textId="3251E85A" w:rsidR="00685355" w:rsidRDefault="007046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A1E02">
      <w:rPr>
        <w:rStyle w:val="PageNumber"/>
        <w:noProof/>
      </w:rPr>
      <w:t>1</w:t>
    </w:r>
    <w:r>
      <w:rPr>
        <w:rStyle w:val="PageNumber"/>
      </w:rPr>
      <w:fldChar w:fldCharType="end"/>
    </w:r>
  </w:p>
  <w:p w14:paraId="74E72C2D" w14:textId="77777777" w:rsidR="00685355" w:rsidRDefault="00685355" w:rsidP="00685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3382827"/>
      <w:docPartObj>
        <w:docPartGallery w:val="Page Numbers (Bottom of Page)"/>
        <w:docPartUnique/>
      </w:docPartObj>
    </w:sdtPr>
    <w:sdtEndPr>
      <w:rPr>
        <w:rStyle w:val="PageNumber"/>
      </w:rPr>
    </w:sdtEndPr>
    <w:sdtContent>
      <w:p w14:paraId="4DE593B1" w14:textId="38F089E9" w:rsidR="00685355" w:rsidRDefault="007046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49654" w14:textId="49DAC16A" w:rsidR="0016315C" w:rsidRPr="00685355" w:rsidRDefault="007046DE" w:rsidP="00ED1996">
    <w:pPr>
      <w:spacing w:before="480"/>
      <w:jc w:val="center"/>
    </w:pPr>
    <w:r>
      <w:t>Ratified PICO Confirmation – April 2024 PASC Meeting</w:t>
    </w:r>
    <w:r w:rsidR="009609ED">
      <w:br/>
    </w:r>
    <w:r>
      <w:t>Application 1773 – Autologous chondrocyte implantation for symptomatic articular cartilage defects greater than 2 cm² of the knee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FB7C6" w14:textId="77777777" w:rsidR="008E1FE0" w:rsidRDefault="008E1FE0" w:rsidP="0016315C">
      <w:pPr>
        <w:spacing w:after="0" w:line="240" w:lineRule="auto"/>
      </w:pPr>
      <w:r>
        <w:separator/>
      </w:r>
    </w:p>
  </w:footnote>
  <w:footnote w:type="continuationSeparator" w:id="0">
    <w:p w14:paraId="476CB8A9" w14:textId="77777777" w:rsidR="008E1FE0" w:rsidRDefault="008E1FE0" w:rsidP="0016315C">
      <w:pPr>
        <w:spacing w:after="0" w:line="240" w:lineRule="auto"/>
      </w:pPr>
      <w:r>
        <w:continuationSeparator/>
      </w:r>
    </w:p>
  </w:footnote>
  <w:footnote w:type="continuationNotice" w:id="1">
    <w:p w14:paraId="43D0B538" w14:textId="77777777" w:rsidR="008E1FE0" w:rsidRDefault="008E1FE0">
      <w:pPr>
        <w:spacing w:after="0" w:line="240" w:lineRule="auto"/>
      </w:pPr>
    </w:p>
  </w:footnote>
  <w:footnote w:id="2">
    <w:p w14:paraId="3DFE703D" w14:textId="6C0C8D53" w:rsidR="002A2AB5" w:rsidRPr="008A2F33" w:rsidRDefault="007046DE" w:rsidP="002A2AB5">
      <w:pPr>
        <w:pStyle w:val="FootnoteText"/>
        <w:rPr>
          <w:lang w:val="en-US"/>
        </w:rPr>
      </w:pPr>
      <w:r>
        <w:rPr>
          <w:rStyle w:val="FootnoteReference"/>
        </w:rPr>
        <w:footnoteRef/>
      </w:r>
      <w:r>
        <w:t xml:space="preserve"> </w:t>
      </w:r>
      <w:r>
        <w:rPr>
          <w:lang w:val="en-US"/>
        </w:rPr>
        <w:t>Confirmed in pre-PASC</w:t>
      </w:r>
      <w:r w:rsidR="005D656C">
        <w:rPr>
          <w:lang w:val="en-US"/>
        </w:rPr>
        <w:t xml:space="preserve"> period</w:t>
      </w:r>
      <w:r>
        <w:rPr>
          <w:lang w:val="en-US"/>
        </w:rPr>
        <w:t>, written communication from applicant, 05 March 2024.</w:t>
      </w:r>
    </w:p>
  </w:footnote>
  <w:footnote w:id="3">
    <w:p w14:paraId="5A61810A" w14:textId="296FEE98" w:rsidR="00BB2A76" w:rsidRPr="00BB2A76" w:rsidRDefault="007046DE">
      <w:pPr>
        <w:pStyle w:val="FootnoteText"/>
        <w:rPr>
          <w:lang w:val="en-US"/>
        </w:rPr>
      </w:pPr>
      <w:r>
        <w:rPr>
          <w:rStyle w:val="FootnoteReference"/>
        </w:rPr>
        <w:footnoteRef/>
      </w:r>
      <w:r>
        <w:t xml:space="preserve"> </w:t>
      </w:r>
      <w:r>
        <w:rPr>
          <w:lang w:val="en-US"/>
        </w:rPr>
        <w:t>Pre-PASC</w:t>
      </w:r>
      <w:r w:rsidR="00611311">
        <w:rPr>
          <w:lang w:val="en-US"/>
        </w:rPr>
        <w:t>,</w:t>
      </w:r>
      <w:r>
        <w:rPr>
          <w:lang w:val="en-US"/>
        </w:rPr>
        <w:t xml:space="preserve"> written communication from applicant, 05 March 2024.</w:t>
      </w:r>
    </w:p>
  </w:footnote>
  <w:footnote w:id="4">
    <w:p w14:paraId="07110B73" w14:textId="670F2EEB" w:rsidR="00A45886" w:rsidRPr="00A45886" w:rsidRDefault="007046DE">
      <w:pPr>
        <w:pStyle w:val="FootnoteText"/>
        <w:rPr>
          <w:lang w:val="en-US"/>
        </w:rPr>
      </w:pPr>
      <w:r>
        <w:rPr>
          <w:rStyle w:val="FootnoteReference"/>
        </w:rPr>
        <w:footnoteRef/>
      </w:r>
      <w:r>
        <w:t xml:space="preserve"> </w:t>
      </w:r>
      <w:r>
        <w:rPr>
          <w:lang w:val="en-US"/>
        </w:rPr>
        <w:t>Pre-PASC, written communication from applicant, 05 March 2024.</w:t>
      </w:r>
    </w:p>
  </w:footnote>
  <w:footnote w:id="5">
    <w:p w14:paraId="1922EE83" w14:textId="77777777" w:rsidR="00BC33A1" w:rsidRPr="009657CE" w:rsidRDefault="007046DE" w:rsidP="00BC33A1">
      <w:pPr>
        <w:pStyle w:val="FootnoteText"/>
        <w:rPr>
          <w:lang w:val="en-US"/>
        </w:rPr>
      </w:pPr>
      <w:r>
        <w:rPr>
          <w:rStyle w:val="FootnoteReference"/>
        </w:rPr>
        <w:footnoteRef/>
      </w:r>
      <w:r>
        <w:t xml:space="preserve"> </w:t>
      </w:r>
      <w:r>
        <w:rPr>
          <w:lang w:val="en-US"/>
        </w:rPr>
        <w:t>Pre-PASC, written communication from applicant, 05 March 2024.</w:t>
      </w:r>
    </w:p>
  </w:footnote>
  <w:footnote w:id="6">
    <w:p w14:paraId="5A52AE1C" w14:textId="77777777" w:rsidR="00222954" w:rsidRPr="00F85391" w:rsidRDefault="007046DE" w:rsidP="00222954">
      <w:pPr>
        <w:pStyle w:val="FootnoteText"/>
        <w:rPr>
          <w:lang w:val="en-US"/>
        </w:rPr>
      </w:pPr>
      <w:r>
        <w:rPr>
          <w:rStyle w:val="FootnoteReference"/>
        </w:rPr>
        <w:footnoteRef/>
      </w:r>
      <w:r>
        <w:t xml:space="preserve"> </w:t>
      </w:r>
      <w:r>
        <w:rPr>
          <w:lang w:val="en-US"/>
        </w:rPr>
        <w:t>Pre-PASC, written communication from applicant, 05 March 2024.</w:t>
      </w:r>
    </w:p>
  </w:footnote>
  <w:footnote w:id="7">
    <w:p w14:paraId="2F4BEB5D" w14:textId="4A6C06DE" w:rsidR="00754547" w:rsidRPr="00754547" w:rsidRDefault="007046DE">
      <w:pPr>
        <w:pStyle w:val="FootnoteText"/>
        <w:rPr>
          <w:lang w:val="en-US"/>
        </w:rPr>
      </w:pPr>
      <w:r>
        <w:rPr>
          <w:rStyle w:val="FootnoteReference"/>
        </w:rPr>
        <w:footnoteRef/>
      </w:r>
      <w:r>
        <w:t xml:space="preserve"> </w:t>
      </w:r>
      <w:r>
        <w:rPr>
          <w:lang w:val="en-US"/>
        </w:rPr>
        <w:t xml:space="preserve">Pre-PASC meeting with </w:t>
      </w:r>
      <w:r w:rsidR="0014212A">
        <w:rPr>
          <w:lang w:val="en-US"/>
        </w:rPr>
        <w:t>d</w:t>
      </w:r>
      <w:r>
        <w:rPr>
          <w:lang w:val="en-US"/>
        </w:rPr>
        <w:t xml:space="preserve">epartment and </w:t>
      </w:r>
      <w:r w:rsidR="004C07B7">
        <w:rPr>
          <w:lang w:val="en-US"/>
        </w:rPr>
        <w:t>applicant</w:t>
      </w:r>
      <w:r w:rsidR="009D49BC">
        <w:rPr>
          <w:lang w:val="en-US"/>
        </w:rPr>
        <w:t xml:space="preserve">, </w:t>
      </w:r>
      <w:r w:rsidR="0021572D">
        <w:rPr>
          <w:lang w:val="en-US"/>
        </w:rPr>
        <w:t>19 February 2024</w:t>
      </w:r>
      <w:r w:rsidR="004C07B7">
        <w:rPr>
          <w:lang w:val="en-US"/>
        </w:rPr>
        <w:t>.</w:t>
      </w:r>
    </w:p>
  </w:footnote>
  <w:footnote w:id="8">
    <w:p w14:paraId="0020D450" w14:textId="42417D10" w:rsidR="00D110A0" w:rsidRPr="00D110A0" w:rsidRDefault="007046DE">
      <w:pPr>
        <w:pStyle w:val="FootnoteText"/>
        <w:rPr>
          <w:lang w:val="en-US"/>
        </w:rPr>
      </w:pPr>
      <w:r>
        <w:rPr>
          <w:rStyle w:val="FootnoteReference"/>
        </w:rPr>
        <w:footnoteRef/>
      </w:r>
      <w:r>
        <w:t xml:space="preserve"> </w:t>
      </w:r>
      <w:r w:rsidR="002E51B1" w:rsidRPr="002E51B1">
        <w:t>Medicare Benefits Schedule Orthopaedic Surgery Items – Factsheet</w:t>
      </w:r>
      <w:r w:rsidR="002E51B1">
        <w:t>. ‘</w:t>
      </w:r>
      <w:r w:rsidRPr="00D110A0">
        <w:t>Changes to MBS Items for Orthopaedic Knee Surgery</w:t>
      </w:r>
      <w:r>
        <w:t>.</w:t>
      </w:r>
      <w:r w:rsidR="002E51B1">
        <w:t>’</w:t>
      </w:r>
      <w:r>
        <w:t xml:space="preserve"> </w:t>
      </w:r>
      <w:r w:rsidR="004D705D">
        <w:t>Accessed</w:t>
      </w:r>
      <w:r w:rsidR="009737B6">
        <w:t xml:space="preserve"> on 04 March 2024 at</w:t>
      </w:r>
      <w:r w:rsidR="004D705D">
        <w:t xml:space="preserve"> </w:t>
      </w:r>
      <w:hyperlink r:id="rId1" w:tooltip="Link to Medicare Benefits Schedule Orthopaedic Surgery Items – Factsheet. ‘Changes to MBS Items for Orthopaedic Knee Surgery.’" w:history="1">
        <w:r w:rsidR="009737B6" w:rsidRPr="00C834D5">
          <w:rPr>
            <w:rStyle w:val="Hyperlink"/>
            <w:rFonts w:ascii="Calibri" w:hAnsi="Calibri"/>
            <w:color w:val="000000" w:themeColor="text1"/>
          </w:rPr>
          <w:t>https://www.mbsonline.gov.au/internet/mbsonline/publishing.nsf/Content/F3E1DA9A21343EA6CA258646007893F7/$File/Factsheet-Knee%20.pdf</w:t>
        </w:r>
      </w:hyperlink>
      <w:r w:rsidR="002E51B1" w:rsidRPr="00C834D5">
        <w:rPr>
          <w:color w:val="000000" w:themeColor="text1"/>
        </w:rPr>
        <w:t>.</w:t>
      </w:r>
    </w:p>
  </w:footnote>
  <w:footnote w:id="9">
    <w:p w14:paraId="601594D8" w14:textId="3454F2C8" w:rsidR="00F600F1" w:rsidRPr="008A1AF1" w:rsidRDefault="007046DE" w:rsidP="00F600F1">
      <w:pPr>
        <w:pStyle w:val="FootnoteText"/>
        <w:rPr>
          <w:lang w:val="en-US"/>
        </w:rPr>
      </w:pPr>
      <w:r>
        <w:rPr>
          <w:rStyle w:val="FootnoteReference"/>
        </w:rPr>
        <w:footnoteRef/>
      </w:r>
      <w:r>
        <w:t xml:space="preserve"> </w:t>
      </w:r>
      <w:r w:rsidRPr="008A1AF1">
        <w:t>NCT01957722</w:t>
      </w:r>
      <w:r>
        <w:t xml:space="preserve">: </w:t>
      </w:r>
      <w:r w:rsidRPr="008A1AF1">
        <w:t>NOVOCART®3D</w:t>
      </w:r>
      <w:r>
        <w:t>, completing in 2027.</w:t>
      </w:r>
    </w:p>
  </w:footnote>
  <w:footnote w:id="10">
    <w:p w14:paraId="6D73285B" w14:textId="3FC2A955" w:rsidR="00822D8F" w:rsidRPr="00822D8F" w:rsidRDefault="007046DE">
      <w:pPr>
        <w:pStyle w:val="FootnoteText"/>
        <w:rPr>
          <w:lang w:val="en-US"/>
        </w:rPr>
      </w:pPr>
      <w:r>
        <w:rPr>
          <w:rStyle w:val="FootnoteReference"/>
        </w:rPr>
        <w:footnoteRef/>
      </w:r>
      <w:r>
        <w:t xml:space="preserve"> </w:t>
      </w:r>
      <w:r w:rsidRPr="00822D8F">
        <w:t>NCT03588975</w:t>
      </w:r>
      <w:r>
        <w:t>: MACI</w:t>
      </w:r>
      <w:r w:rsidR="005410C7">
        <w:t>®, completing in 2027.</w:t>
      </w:r>
    </w:p>
  </w:footnote>
  <w:footnote w:id="11">
    <w:p w14:paraId="0654668E" w14:textId="64CCA076" w:rsidR="003303D6" w:rsidRPr="003303D6" w:rsidRDefault="007046DE">
      <w:pPr>
        <w:pStyle w:val="FootnoteText"/>
        <w:rPr>
          <w:lang w:val="en-US"/>
        </w:rPr>
      </w:pPr>
      <w:r>
        <w:rPr>
          <w:rStyle w:val="FootnoteReference"/>
        </w:rPr>
        <w:footnoteRef/>
      </w:r>
      <w:r>
        <w:t xml:space="preserve"> </w:t>
      </w:r>
      <w:r w:rsidRPr="003303D6">
        <w:t>NCT05051332</w:t>
      </w:r>
      <w:r>
        <w:t xml:space="preserve">: </w:t>
      </w:r>
      <w:r w:rsidRPr="003303D6">
        <w:t>CartiLife®</w:t>
      </w:r>
      <w:r>
        <w:t>, completing in September 2024.</w:t>
      </w:r>
    </w:p>
  </w:footnote>
  <w:footnote w:id="12">
    <w:p w14:paraId="49E86A74" w14:textId="0F25DE93" w:rsidR="00C5505D" w:rsidRPr="009257D2" w:rsidRDefault="007046DE" w:rsidP="00C5505D">
      <w:pPr>
        <w:pStyle w:val="FootnoteText"/>
        <w:rPr>
          <w:lang w:val="en-US"/>
        </w:rPr>
      </w:pPr>
      <w:r>
        <w:rPr>
          <w:rStyle w:val="FootnoteReference"/>
        </w:rPr>
        <w:footnoteRef/>
      </w:r>
      <w:r>
        <w:t xml:space="preserve"> Accessed on 04 March 2024 at </w:t>
      </w:r>
      <w:hyperlink r:id="rId2" w:tooltip="Link to clinicaltrials.gov website for the ongoing trial of matrix-induced ACI using Chondro Gide versus debridement plus physiotherapy." w:history="1">
        <w:r w:rsidRPr="00D4033C">
          <w:rPr>
            <w:rStyle w:val="Hyperlink"/>
            <w:rFonts w:ascii="Calibri" w:hAnsi="Calibri"/>
            <w:color w:val="000000" w:themeColor="text1"/>
          </w:rPr>
          <w:t>https://clinicaltrials.gov/study/NCT02636881</w:t>
        </w:r>
      </w:hyperlink>
      <w:r w:rsidRPr="00D4033C">
        <w:rPr>
          <w:color w:val="000000" w:themeColor="text1"/>
        </w:rPr>
        <w:t>.</w:t>
      </w:r>
    </w:p>
  </w:footnote>
  <w:footnote w:id="13">
    <w:p w14:paraId="15E06DD5" w14:textId="2D50587A" w:rsidR="00EA7405" w:rsidRPr="00754547" w:rsidRDefault="007046DE" w:rsidP="00EA7405">
      <w:pPr>
        <w:pStyle w:val="FootnoteText"/>
        <w:rPr>
          <w:lang w:val="en-US"/>
        </w:rPr>
      </w:pPr>
      <w:r>
        <w:rPr>
          <w:rStyle w:val="FootnoteReference"/>
        </w:rPr>
        <w:footnoteRef/>
      </w:r>
      <w:r>
        <w:t xml:space="preserve"> </w:t>
      </w:r>
      <w:r>
        <w:rPr>
          <w:lang w:val="en-US"/>
        </w:rPr>
        <w:t xml:space="preserve">Pre-PASC meeting with </w:t>
      </w:r>
      <w:r w:rsidR="0014212A">
        <w:rPr>
          <w:lang w:val="en-US"/>
        </w:rPr>
        <w:t>d</w:t>
      </w:r>
      <w:r>
        <w:rPr>
          <w:lang w:val="en-US"/>
        </w:rPr>
        <w:t>epartment and applicant, 19 February 2024.</w:t>
      </w:r>
    </w:p>
  </w:footnote>
  <w:footnote w:id="14">
    <w:p w14:paraId="4038B119" w14:textId="489B78CC" w:rsidR="00DC7602" w:rsidRPr="00154A13" w:rsidRDefault="007046DE">
      <w:pPr>
        <w:pStyle w:val="FootnoteText"/>
        <w:rPr>
          <w:lang w:val="en-US"/>
        </w:rPr>
      </w:pPr>
      <w:r>
        <w:rPr>
          <w:rStyle w:val="FootnoteReference"/>
        </w:rPr>
        <w:footnoteRef/>
      </w:r>
      <w:r>
        <w:t xml:space="preserve"> </w:t>
      </w:r>
      <w:r>
        <w:rPr>
          <w:lang w:val="en-US"/>
        </w:rPr>
        <w:t>Pre-PASC, written communication from applicant, 05 March 2024</w:t>
      </w:r>
    </w:p>
  </w:footnote>
  <w:footnote w:id="15">
    <w:p w14:paraId="20C6D319" w14:textId="77777777" w:rsidR="004978F2" w:rsidRDefault="007046DE" w:rsidP="004978F2">
      <w:pPr>
        <w:pStyle w:val="FootnoteText"/>
      </w:pPr>
      <w:r>
        <w:rPr>
          <w:rStyle w:val="FootnoteReference"/>
        </w:rPr>
        <w:footnoteRef/>
      </w:r>
      <w:r>
        <w:t xml:space="preserve"> This is a Tier 3 MBS item; Tier 3 items are for complex knee arthroscopic services.</w:t>
      </w:r>
    </w:p>
  </w:footnote>
  <w:footnote w:id="16">
    <w:p w14:paraId="26EB9DB8" w14:textId="26EA9ED5" w:rsidR="00ED7B93" w:rsidRDefault="007046DE">
      <w:pPr>
        <w:pStyle w:val="FootnoteText"/>
      </w:pPr>
      <w:r>
        <w:rPr>
          <w:rStyle w:val="FootnoteReference"/>
        </w:rPr>
        <w:footnoteRef/>
      </w:r>
      <w:r>
        <w:t xml:space="preserve"> </w:t>
      </w:r>
      <w:r>
        <w:rPr>
          <w:lang w:val="en-US"/>
        </w:rPr>
        <w:t>Pre-PASC, written communication from applicant, 05 March 2024.</w:t>
      </w:r>
    </w:p>
  </w:footnote>
  <w:footnote w:id="17">
    <w:p w14:paraId="4C1ECF50" w14:textId="77777777" w:rsidR="002666C3" w:rsidRPr="0006286C" w:rsidRDefault="007046DE" w:rsidP="002666C3">
      <w:pPr>
        <w:pStyle w:val="FootnoteText"/>
        <w:rPr>
          <w:lang w:val="en-US"/>
        </w:rPr>
      </w:pPr>
      <w:r>
        <w:rPr>
          <w:rStyle w:val="FootnoteReference"/>
        </w:rPr>
        <w:footnoteRef/>
      </w:r>
      <w:r>
        <w:t xml:space="preserve"> </w:t>
      </w:r>
      <w:r>
        <w:rPr>
          <w:lang w:val="en-US"/>
        </w:rPr>
        <w:t>Pre-PASC, written communication from applicant, 05 March 2024.</w:t>
      </w:r>
    </w:p>
  </w:footnote>
  <w:footnote w:id="18">
    <w:p w14:paraId="2F263B38" w14:textId="7E5F1463" w:rsidR="00965A28" w:rsidRPr="00C834D5" w:rsidRDefault="007046DE" w:rsidP="00965A28">
      <w:pPr>
        <w:pStyle w:val="FootnoteText"/>
        <w:rPr>
          <w:color w:val="000000" w:themeColor="text1"/>
        </w:rPr>
      </w:pPr>
      <w:r>
        <w:rPr>
          <w:rStyle w:val="FootnoteReference"/>
        </w:rPr>
        <w:footnoteRef/>
      </w:r>
      <w:r>
        <w:t xml:space="preserve"> </w:t>
      </w:r>
      <w:r w:rsidRPr="002E51B1">
        <w:t>Medicare Benefits Schedule Orthopaedic Surgery Items – Factsheet</w:t>
      </w:r>
      <w:r>
        <w:t>. ‘</w:t>
      </w:r>
      <w:r w:rsidRPr="00D110A0">
        <w:t>Changes to MBS Items for Orthopaedic Knee Surgery</w:t>
      </w:r>
      <w:r>
        <w:t xml:space="preserve">.’ Accessed on 04 March 2024 at </w:t>
      </w:r>
      <w:hyperlink r:id="rId3" w:tooltip="Link to Medicare Benefits Schedule Orthopaedic Surgery Items – Factsheet. ‘Changes to MBS Items for Orthopaedic Knee Surgery'" w:history="1">
        <w:r w:rsidRPr="00C834D5">
          <w:rPr>
            <w:rStyle w:val="Hyperlink"/>
            <w:rFonts w:ascii="Calibri" w:hAnsi="Calibri"/>
            <w:color w:val="000000" w:themeColor="text1"/>
          </w:rPr>
          <w:t>https://www.mbsonline.gov.au/internet/mbsonline/publishing.nsf/Content/F3E1DA9A21343EA6CA258646007893F7/$File/Factsheet-Knee%20.pdf</w:t>
        </w:r>
      </w:hyperlink>
      <w:r w:rsidRPr="00C834D5">
        <w:rPr>
          <w:color w:val="000000" w:themeColor="text1"/>
        </w:rPr>
        <w:t>.</w:t>
      </w:r>
    </w:p>
  </w:footnote>
  <w:footnote w:id="19">
    <w:p w14:paraId="534DE018" w14:textId="77777777" w:rsidR="004D4FEF" w:rsidRPr="001422B3" w:rsidRDefault="007046DE" w:rsidP="004D4FEF">
      <w:pPr>
        <w:pStyle w:val="FootnoteText"/>
        <w:rPr>
          <w:lang w:val="en-US"/>
        </w:rPr>
      </w:pPr>
      <w:r>
        <w:rPr>
          <w:rStyle w:val="FootnoteReference"/>
        </w:rPr>
        <w:footnoteRef/>
      </w:r>
      <w:r>
        <w:t xml:space="preserve"> </w:t>
      </w:r>
      <w:r>
        <w:rPr>
          <w:lang w:val="en-US"/>
        </w:rPr>
        <w:t>Pre-PASC, written communication from applicant, 05 March 2024.</w:t>
      </w:r>
    </w:p>
  </w:footnote>
  <w:footnote w:id="20">
    <w:p w14:paraId="723F3F74" w14:textId="495F40D5" w:rsidR="007C51DC" w:rsidRDefault="007046DE">
      <w:pPr>
        <w:pStyle w:val="FootnoteText"/>
      </w:pPr>
      <w:r>
        <w:rPr>
          <w:rStyle w:val="FootnoteReference"/>
        </w:rPr>
        <w:footnoteRef/>
      </w:r>
      <w:r>
        <w:t xml:space="preserve"> </w:t>
      </w:r>
      <w:r>
        <w:rPr>
          <w:lang w:val="en-US"/>
        </w:rPr>
        <w:t>Pre-PASC, written communication from applicant, 05 March 2024.</w:t>
      </w:r>
    </w:p>
  </w:footnote>
  <w:footnote w:id="21">
    <w:p w14:paraId="1962653B" w14:textId="4395BAF1" w:rsidR="00591991" w:rsidRDefault="007046DE">
      <w:pPr>
        <w:pStyle w:val="FootnoteText"/>
      </w:pPr>
      <w:r>
        <w:rPr>
          <w:rStyle w:val="FootnoteReference"/>
        </w:rPr>
        <w:footnoteRef/>
      </w:r>
      <w:r>
        <w:t xml:space="preserve"> </w:t>
      </w:r>
      <w:r>
        <w:rPr>
          <w:lang w:val="en-US"/>
        </w:rPr>
        <w:t>Pre-PASC, written communication from applicant, 05 March 2024</w:t>
      </w:r>
    </w:p>
  </w:footnote>
  <w:footnote w:id="22">
    <w:p w14:paraId="253295C8" w14:textId="209E1287" w:rsidR="00FB436F" w:rsidRPr="00C834D5" w:rsidRDefault="007046DE" w:rsidP="00D21BFD">
      <w:pPr>
        <w:pStyle w:val="FootnoteText"/>
        <w:rPr>
          <w:color w:val="000000" w:themeColor="text1"/>
        </w:rPr>
      </w:pPr>
      <w:r>
        <w:rPr>
          <w:rStyle w:val="FootnoteReference"/>
        </w:rPr>
        <w:footnoteRef/>
      </w:r>
      <w:r>
        <w:t xml:space="preserve"> Prostheses List Reforms – Consultation Paper No 2(a) ‘Modernisation of Part B of the Prostheses List’</w:t>
      </w:r>
      <w:r w:rsidR="000922EB">
        <w:t>.</w:t>
      </w:r>
      <w:r w:rsidR="001D0BD4">
        <w:t xml:space="preserve"> Publis</w:t>
      </w:r>
      <w:r w:rsidR="005B590A">
        <w:t>h</w:t>
      </w:r>
      <w:r w:rsidR="001D0BD4">
        <w:t xml:space="preserve">ed </w:t>
      </w:r>
      <w:r w:rsidR="005B590A">
        <w:t>February 2022</w:t>
      </w:r>
      <w:r w:rsidR="002E5E0F">
        <w:t xml:space="preserve"> by the Australian Department of Health and Aged Care</w:t>
      </w:r>
      <w:r w:rsidR="005B590A">
        <w:t>.</w:t>
      </w:r>
      <w:r w:rsidR="000922EB">
        <w:t xml:space="preserve"> Accessed on 11 March 2024 at </w:t>
      </w:r>
      <w:hyperlink r:id="rId4" w:tooltip="Link to Prostheses List Reforms – Consultation Paper No 2(a) " w:history="1">
        <w:r w:rsidRPr="00C834D5">
          <w:rPr>
            <w:rStyle w:val="Hyperlink"/>
            <w:rFonts w:ascii="Calibri" w:hAnsi="Calibri"/>
            <w:color w:val="000000" w:themeColor="text1"/>
          </w:rPr>
          <w:t>https://consultations.health.gov.au/technology-assessment-access-division/consultation-paper-2a-modernising-of-part-b-of-the/supporting_documents/Consultation%20Paper%20No%202a%20%20Modernisation%20of%20Part%20B%20of%20the%20Prostheses%20List%20FINAL.pdf</w:t>
        </w:r>
      </w:hyperlink>
    </w:p>
  </w:footnote>
  <w:footnote w:id="23">
    <w:p w14:paraId="786CD90E" w14:textId="77777777" w:rsidR="0034166F" w:rsidRDefault="007046DE" w:rsidP="0034166F">
      <w:pPr>
        <w:pStyle w:val="FootnoteText"/>
      </w:pPr>
      <w:r>
        <w:rPr>
          <w:rStyle w:val="FootnoteReference"/>
        </w:rPr>
        <w:footnoteRef/>
      </w:r>
      <w:r>
        <w:t xml:space="preserve"> </w:t>
      </w:r>
      <w:r>
        <w:rPr>
          <w:lang w:val="en-US"/>
        </w:rPr>
        <w:t>Pre-PASC, written communication from applicant, 05 March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00FD7D5C" w14:paraId="0D129C2B" w14:textId="77777777" w:rsidTr="00702A22">
      <w:trPr>
        <w:trHeight w:val="300"/>
      </w:trPr>
      <w:tc>
        <w:tcPr>
          <w:tcW w:w="3190" w:type="dxa"/>
        </w:tcPr>
        <w:p w14:paraId="322F4D85" w14:textId="0A7BDBCF" w:rsidR="16154AFF" w:rsidRDefault="16154AFF" w:rsidP="00702A22">
          <w:pPr>
            <w:pStyle w:val="Header"/>
            <w:ind w:left="-115"/>
          </w:pPr>
        </w:p>
      </w:tc>
      <w:tc>
        <w:tcPr>
          <w:tcW w:w="3190" w:type="dxa"/>
        </w:tcPr>
        <w:p w14:paraId="2E07A321" w14:textId="030D6B33" w:rsidR="16154AFF" w:rsidRDefault="16154AFF" w:rsidP="00702A22">
          <w:pPr>
            <w:pStyle w:val="Header"/>
            <w:jc w:val="center"/>
          </w:pPr>
        </w:p>
      </w:tc>
      <w:tc>
        <w:tcPr>
          <w:tcW w:w="3190" w:type="dxa"/>
        </w:tcPr>
        <w:p w14:paraId="655CCE73" w14:textId="18B07C44" w:rsidR="16154AFF" w:rsidRDefault="16154AFF" w:rsidP="00702A22">
          <w:pPr>
            <w:pStyle w:val="Header"/>
            <w:ind w:right="-115"/>
            <w:jc w:val="right"/>
          </w:pPr>
        </w:p>
      </w:tc>
    </w:tr>
  </w:tbl>
  <w:p w14:paraId="6ADCB4C4" w14:textId="2581D2BF" w:rsidR="16154AFF" w:rsidRDefault="16154AFF" w:rsidP="00702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1270F"/>
    <w:multiLevelType w:val="hybridMultilevel"/>
    <w:tmpl w:val="3620BCA2"/>
    <w:lvl w:ilvl="0" w:tplc="D930B16C">
      <w:start w:val="1"/>
      <w:numFmt w:val="bullet"/>
      <w:lvlText w:val=""/>
      <w:lvlJc w:val="left"/>
      <w:pPr>
        <w:ind w:left="720" w:hanging="360"/>
      </w:pPr>
      <w:rPr>
        <w:rFonts w:ascii="Symbol" w:hAnsi="Symbol" w:hint="default"/>
      </w:rPr>
    </w:lvl>
    <w:lvl w:ilvl="1" w:tplc="EFDA39AC" w:tentative="1">
      <w:start w:val="1"/>
      <w:numFmt w:val="bullet"/>
      <w:lvlText w:val="o"/>
      <w:lvlJc w:val="left"/>
      <w:pPr>
        <w:ind w:left="1440" w:hanging="360"/>
      </w:pPr>
      <w:rPr>
        <w:rFonts w:ascii="Courier New" w:hAnsi="Courier New" w:cs="Courier New" w:hint="default"/>
      </w:rPr>
    </w:lvl>
    <w:lvl w:ilvl="2" w:tplc="07EC26D4" w:tentative="1">
      <w:start w:val="1"/>
      <w:numFmt w:val="bullet"/>
      <w:lvlText w:val=""/>
      <w:lvlJc w:val="left"/>
      <w:pPr>
        <w:ind w:left="2160" w:hanging="360"/>
      </w:pPr>
      <w:rPr>
        <w:rFonts w:ascii="Wingdings" w:hAnsi="Wingdings" w:hint="default"/>
      </w:rPr>
    </w:lvl>
    <w:lvl w:ilvl="3" w:tplc="12ACA480" w:tentative="1">
      <w:start w:val="1"/>
      <w:numFmt w:val="bullet"/>
      <w:lvlText w:val=""/>
      <w:lvlJc w:val="left"/>
      <w:pPr>
        <w:ind w:left="2880" w:hanging="360"/>
      </w:pPr>
      <w:rPr>
        <w:rFonts w:ascii="Symbol" w:hAnsi="Symbol" w:hint="default"/>
      </w:rPr>
    </w:lvl>
    <w:lvl w:ilvl="4" w:tplc="4104BB02" w:tentative="1">
      <w:start w:val="1"/>
      <w:numFmt w:val="bullet"/>
      <w:lvlText w:val="o"/>
      <w:lvlJc w:val="left"/>
      <w:pPr>
        <w:ind w:left="3600" w:hanging="360"/>
      </w:pPr>
      <w:rPr>
        <w:rFonts w:ascii="Courier New" w:hAnsi="Courier New" w:cs="Courier New" w:hint="default"/>
      </w:rPr>
    </w:lvl>
    <w:lvl w:ilvl="5" w:tplc="EC5E57BE" w:tentative="1">
      <w:start w:val="1"/>
      <w:numFmt w:val="bullet"/>
      <w:lvlText w:val=""/>
      <w:lvlJc w:val="left"/>
      <w:pPr>
        <w:ind w:left="4320" w:hanging="360"/>
      </w:pPr>
      <w:rPr>
        <w:rFonts w:ascii="Wingdings" w:hAnsi="Wingdings" w:hint="default"/>
      </w:rPr>
    </w:lvl>
    <w:lvl w:ilvl="6" w:tplc="B0C405EC" w:tentative="1">
      <w:start w:val="1"/>
      <w:numFmt w:val="bullet"/>
      <w:lvlText w:val=""/>
      <w:lvlJc w:val="left"/>
      <w:pPr>
        <w:ind w:left="5040" w:hanging="360"/>
      </w:pPr>
      <w:rPr>
        <w:rFonts w:ascii="Symbol" w:hAnsi="Symbol" w:hint="default"/>
      </w:rPr>
    </w:lvl>
    <w:lvl w:ilvl="7" w:tplc="6BFAB386" w:tentative="1">
      <w:start w:val="1"/>
      <w:numFmt w:val="bullet"/>
      <w:lvlText w:val="o"/>
      <w:lvlJc w:val="left"/>
      <w:pPr>
        <w:ind w:left="5760" w:hanging="360"/>
      </w:pPr>
      <w:rPr>
        <w:rFonts w:ascii="Courier New" w:hAnsi="Courier New" w:cs="Courier New" w:hint="default"/>
      </w:rPr>
    </w:lvl>
    <w:lvl w:ilvl="8" w:tplc="BE1E0D1C" w:tentative="1">
      <w:start w:val="1"/>
      <w:numFmt w:val="bullet"/>
      <w:lvlText w:val=""/>
      <w:lvlJc w:val="left"/>
      <w:pPr>
        <w:ind w:left="6480" w:hanging="360"/>
      </w:pPr>
      <w:rPr>
        <w:rFonts w:ascii="Wingdings" w:hAnsi="Wingdings" w:hint="default"/>
      </w:rPr>
    </w:lvl>
  </w:abstractNum>
  <w:abstractNum w:abstractNumId="1" w15:restartNumberingAfterBreak="0">
    <w:nsid w:val="096D3FAF"/>
    <w:multiLevelType w:val="hybridMultilevel"/>
    <w:tmpl w:val="B19C3D00"/>
    <w:lvl w:ilvl="0" w:tplc="FDB472CE">
      <w:start w:val="1"/>
      <w:numFmt w:val="bullet"/>
      <w:lvlText w:val=""/>
      <w:lvlJc w:val="left"/>
      <w:pPr>
        <w:ind w:left="765" w:hanging="360"/>
      </w:pPr>
      <w:rPr>
        <w:rFonts w:ascii="Symbol" w:hAnsi="Symbol" w:hint="default"/>
      </w:rPr>
    </w:lvl>
    <w:lvl w:ilvl="1" w:tplc="DA86CD18" w:tentative="1">
      <w:start w:val="1"/>
      <w:numFmt w:val="bullet"/>
      <w:lvlText w:val="o"/>
      <w:lvlJc w:val="left"/>
      <w:pPr>
        <w:ind w:left="1485" w:hanging="360"/>
      </w:pPr>
      <w:rPr>
        <w:rFonts w:ascii="Courier New" w:hAnsi="Courier New" w:cs="Courier New" w:hint="default"/>
      </w:rPr>
    </w:lvl>
    <w:lvl w:ilvl="2" w:tplc="B80E7280" w:tentative="1">
      <w:start w:val="1"/>
      <w:numFmt w:val="bullet"/>
      <w:lvlText w:val=""/>
      <w:lvlJc w:val="left"/>
      <w:pPr>
        <w:ind w:left="2205" w:hanging="360"/>
      </w:pPr>
      <w:rPr>
        <w:rFonts w:ascii="Wingdings" w:hAnsi="Wingdings" w:hint="default"/>
      </w:rPr>
    </w:lvl>
    <w:lvl w:ilvl="3" w:tplc="3006AEE8" w:tentative="1">
      <w:start w:val="1"/>
      <w:numFmt w:val="bullet"/>
      <w:lvlText w:val=""/>
      <w:lvlJc w:val="left"/>
      <w:pPr>
        <w:ind w:left="2925" w:hanging="360"/>
      </w:pPr>
      <w:rPr>
        <w:rFonts w:ascii="Symbol" w:hAnsi="Symbol" w:hint="default"/>
      </w:rPr>
    </w:lvl>
    <w:lvl w:ilvl="4" w:tplc="9D7E679C" w:tentative="1">
      <w:start w:val="1"/>
      <w:numFmt w:val="bullet"/>
      <w:lvlText w:val="o"/>
      <w:lvlJc w:val="left"/>
      <w:pPr>
        <w:ind w:left="3645" w:hanging="360"/>
      </w:pPr>
      <w:rPr>
        <w:rFonts w:ascii="Courier New" w:hAnsi="Courier New" w:cs="Courier New" w:hint="default"/>
      </w:rPr>
    </w:lvl>
    <w:lvl w:ilvl="5" w:tplc="6346149E" w:tentative="1">
      <w:start w:val="1"/>
      <w:numFmt w:val="bullet"/>
      <w:lvlText w:val=""/>
      <w:lvlJc w:val="left"/>
      <w:pPr>
        <w:ind w:left="4365" w:hanging="360"/>
      </w:pPr>
      <w:rPr>
        <w:rFonts w:ascii="Wingdings" w:hAnsi="Wingdings" w:hint="default"/>
      </w:rPr>
    </w:lvl>
    <w:lvl w:ilvl="6" w:tplc="786A1A44" w:tentative="1">
      <w:start w:val="1"/>
      <w:numFmt w:val="bullet"/>
      <w:lvlText w:val=""/>
      <w:lvlJc w:val="left"/>
      <w:pPr>
        <w:ind w:left="5085" w:hanging="360"/>
      </w:pPr>
      <w:rPr>
        <w:rFonts w:ascii="Symbol" w:hAnsi="Symbol" w:hint="default"/>
      </w:rPr>
    </w:lvl>
    <w:lvl w:ilvl="7" w:tplc="E0AA924C" w:tentative="1">
      <w:start w:val="1"/>
      <w:numFmt w:val="bullet"/>
      <w:lvlText w:val="o"/>
      <w:lvlJc w:val="left"/>
      <w:pPr>
        <w:ind w:left="5805" w:hanging="360"/>
      </w:pPr>
      <w:rPr>
        <w:rFonts w:ascii="Courier New" w:hAnsi="Courier New" w:cs="Courier New" w:hint="default"/>
      </w:rPr>
    </w:lvl>
    <w:lvl w:ilvl="8" w:tplc="F65856AE" w:tentative="1">
      <w:start w:val="1"/>
      <w:numFmt w:val="bullet"/>
      <w:lvlText w:val=""/>
      <w:lvlJc w:val="left"/>
      <w:pPr>
        <w:ind w:left="6525" w:hanging="360"/>
      </w:pPr>
      <w:rPr>
        <w:rFonts w:ascii="Wingdings" w:hAnsi="Wingdings" w:hint="default"/>
      </w:rPr>
    </w:lvl>
  </w:abstractNum>
  <w:abstractNum w:abstractNumId="2" w15:restartNumberingAfterBreak="0">
    <w:nsid w:val="0C41420E"/>
    <w:multiLevelType w:val="hybridMultilevel"/>
    <w:tmpl w:val="B2EC73AA"/>
    <w:lvl w:ilvl="0" w:tplc="69FED22A">
      <w:start w:val="1"/>
      <w:numFmt w:val="bullet"/>
      <w:lvlText w:val=""/>
      <w:lvlJc w:val="left"/>
      <w:pPr>
        <w:ind w:left="360" w:hanging="360"/>
      </w:pPr>
      <w:rPr>
        <w:rFonts w:ascii="Symbol" w:hAnsi="Symbol" w:hint="default"/>
      </w:rPr>
    </w:lvl>
    <w:lvl w:ilvl="1" w:tplc="2CE2400A">
      <w:start w:val="1"/>
      <w:numFmt w:val="bullet"/>
      <w:lvlText w:val="o"/>
      <w:lvlJc w:val="left"/>
      <w:pPr>
        <w:ind w:left="1080" w:hanging="360"/>
      </w:pPr>
      <w:rPr>
        <w:rFonts w:ascii="Courier New" w:hAnsi="Courier New" w:cs="Courier New" w:hint="default"/>
      </w:rPr>
    </w:lvl>
    <w:lvl w:ilvl="2" w:tplc="50CE7EAE">
      <w:start w:val="1"/>
      <w:numFmt w:val="bullet"/>
      <w:lvlText w:val=""/>
      <w:lvlJc w:val="left"/>
      <w:pPr>
        <w:ind w:left="1800" w:hanging="360"/>
      </w:pPr>
      <w:rPr>
        <w:rFonts w:ascii="Wingdings" w:hAnsi="Wingdings" w:hint="default"/>
      </w:rPr>
    </w:lvl>
    <w:lvl w:ilvl="3" w:tplc="4274BEAC">
      <w:start w:val="1"/>
      <w:numFmt w:val="bullet"/>
      <w:lvlText w:val=""/>
      <w:lvlJc w:val="left"/>
      <w:pPr>
        <w:ind w:left="2520" w:hanging="360"/>
      </w:pPr>
      <w:rPr>
        <w:rFonts w:ascii="Symbol" w:hAnsi="Symbol" w:hint="default"/>
      </w:rPr>
    </w:lvl>
    <w:lvl w:ilvl="4" w:tplc="4F26C392">
      <w:start w:val="1"/>
      <w:numFmt w:val="bullet"/>
      <w:lvlText w:val="o"/>
      <w:lvlJc w:val="left"/>
      <w:pPr>
        <w:ind w:left="3240" w:hanging="360"/>
      </w:pPr>
      <w:rPr>
        <w:rFonts w:ascii="Courier New" w:hAnsi="Courier New" w:cs="Courier New" w:hint="default"/>
      </w:rPr>
    </w:lvl>
    <w:lvl w:ilvl="5" w:tplc="5CEAD4E2">
      <w:start w:val="1"/>
      <w:numFmt w:val="bullet"/>
      <w:lvlText w:val=""/>
      <w:lvlJc w:val="left"/>
      <w:pPr>
        <w:ind w:left="3960" w:hanging="360"/>
      </w:pPr>
      <w:rPr>
        <w:rFonts w:ascii="Wingdings" w:hAnsi="Wingdings" w:hint="default"/>
      </w:rPr>
    </w:lvl>
    <w:lvl w:ilvl="6" w:tplc="75721286">
      <w:start w:val="1"/>
      <w:numFmt w:val="bullet"/>
      <w:lvlText w:val=""/>
      <w:lvlJc w:val="left"/>
      <w:pPr>
        <w:ind w:left="4680" w:hanging="360"/>
      </w:pPr>
      <w:rPr>
        <w:rFonts w:ascii="Symbol" w:hAnsi="Symbol" w:hint="default"/>
      </w:rPr>
    </w:lvl>
    <w:lvl w:ilvl="7" w:tplc="EA8ED460">
      <w:start w:val="1"/>
      <w:numFmt w:val="bullet"/>
      <w:lvlText w:val="o"/>
      <w:lvlJc w:val="left"/>
      <w:pPr>
        <w:ind w:left="5400" w:hanging="360"/>
      </w:pPr>
      <w:rPr>
        <w:rFonts w:ascii="Courier New" w:hAnsi="Courier New" w:cs="Courier New" w:hint="default"/>
      </w:rPr>
    </w:lvl>
    <w:lvl w:ilvl="8" w:tplc="F208B59A">
      <w:start w:val="1"/>
      <w:numFmt w:val="bullet"/>
      <w:lvlText w:val=""/>
      <w:lvlJc w:val="left"/>
      <w:pPr>
        <w:ind w:left="6120" w:hanging="360"/>
      </w:pPr>
      <w:rPr>
        <w:rFonts w:ascii="Wingdings" w:hAnsi="Wingdings" w:hint="default"/>
      </w:rPr>
    </w:lvl>
  </w:abstractNum>
  <w:abstractNum w:abstractNumId="3" w15:restartNumberingAfterBreak="0">
    <w:nsid w:val="0DC85E16"/>
    <w:multiLevelType w:val="hybridMultilevel"/>
    <w:tmpl w:val="E12A8DFC"/>
    <w:lvl w:ilvl="0" w:tplc="FD8686E8">
      <w:start w:val="1"/>
      <w:numFmt w:val="decimal"/>
      <w:lvlText w:val="%1)"/>
      <w:lvlJc w:val="left"/>
      <w:pPr>
        <w:ind w:left="720" w:hanging="360"/>
      </w:pPr>
      <w:rPr>
        <w:rFonts w:hint="default"/>
      </w:rPr>
    </w:lvl>
    <w:lvl w:ilvl="1" w:tplc="F1CE14C0" w:tentative="1">
      <w:start w:val="1"/>
      <w:numFmt w:val="lowerLetter"/>
      <w:lvlText w:val="%2."/>
      <w:lvlJc w:val="left"/>
      <w:pPr>
        <w:ind w:left="1440" w:hanging="360"/>
      </w:pPr>
    </w:lvl>
    <w:lvl w:ilvl="2" w:tplc="49860CAA" w:tentative="1">
      <w:start w:val="1"/>
      <w:numFmt w:val="lowerRoman"/>
      <w:lvlText w:val="%3."/>
      <w:lvlJc w:val="right"/>
      <w:pPr>
        <w:ind w:left="2160" w:hanging="180"/>
      </w:pPr>
    </w:lvl>
    <w:lvl w:ilvl="3" w:tplc="5596B01C" w:tentative="1">
      <w:start w:val="1"/>
      <w:numFmt w:val="decimal"/>
      <w:lvlText w:val="%4."/>
      <w:lvlJc w:val="left"/>
      <w:pPr>
        <w:ind w:left="2880" w:hanging="360"/>
      </w:pPr>
    </w:lvl>
    <w:lvl w:ilvl="4" w:tplc="A1CEE602" w:tentative="1">
      <w:start w:val="1"/>
      <w:numFmt w:val="lowerLetter"/>
      <w:lvlText w:val="%5."/>
      <w:lvlJc w:val="left"/>
      <w:pPr>
        <w:ind w:left="3600" w:hanging="360"/>
      </w:pPr>
    </w:lvl>
    <w:lvl w:ilvl="5" w:tplc="8FB0D1CC" w:tentative="1">
      <w:start w:val="1"/>
      <w:numFmt w:val="lowerRoman"/>
      <w:lvlText w:val="%6."/>
      <w:lvlJc w:val="right"/>
      <w:pPr>
        <w:ind w:left="4320" w:hanging="180"/>
      </w:pPr>
    </w:lvl>
    <w:lvl w:ilvl="6" w:tplc="0308C66A" w:tentative="1">
      <w:start w:val="1"/>
      <w:numFmt w:val="decimal"/>
      <w:lvlText w:val="%7."/>
      <w:lvlJc w:val="left"/>
      <w:pPr>
        <w:ind w:left="5040" w:hanging="360"/>
      </w:pPr>
    </w:lvl>
    <w:lvl w:ilvl="7" w:tplc="67A0D592" w:tentative="1">
      <w:start w:val="1"/>
      <w:numFmt w:val="lowerLetter"/>
      <w:lvlText w:val="%8."/>
      <w:lvlJc w:val="left"/>
      <w:pPr>
        <w:ind w:left="5760" w:hanging="360"/>
      </w:pPr>
    </w:lvl>
    <w:lvl w:ilvl="8" w:tplc="EFD45926" w:tentative="1">
      <w:start w:val="1"/>
      <w:numFmt w:val="lowerRoman"/>
      <w:lvlText w:val="%9."/>
      <w:lvlJc w:val="right"/>
      <w:pPr>
        <w:ind w:left="6480" w:hanging="180"/>
      </w:pPr>
    </w:lvl>
  </w:abstractNum>
  <w:abstractNum w:abstractNumId="4" w15:restartNumberingAfterBreak="0">
    <w:nsid w:val="1254449A"/>
    <w:multiLevelType w:val="hybridMultilevel"/>
    <w:tmpl w:val="3A7E7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023445"/>
    <w:multiLevelType w:val="hybridMultilevel"/>
    <w:tmpl w:val="0CE4E2AC"/>
    <w:lvl w:ilvl="0" w:tplc="A1EA25BE">
      <w:start w:val="1"/>
      <w:numFmt w:val="bullet"/>
      <w:lvlText w:val=""/>
      <w:lvlJc w:val="left"/>
      <w:pPr>
        <w:ind w:left="720" w:hanging="360"/>
      </w:pPr>
      <w:rPr>
        <w:rFonts w:ascii="Symbol" w:hAnsi="Symbol" w:hint="default"/>
      </w:rPr>
    </w:lvl>
    <w:lvl w:ilvl="1" w:tplc="46BAB228" w:tentative="1">
      <w:start w:val="1"/>
      <w:numFmt w:val="bullet"/>
      <w:lvlText w:val="o"/>
      <w:lvlJc w:val="left"/>
      <w:pPr>
        <w:ind w:left="1440" w:hanging="360"/>
      </w:pPr>
      <w:rPr>
        <w:rFonts w:ascii="Courier New" w:hAnsi="Courier New" w:cs="Courier New" w:hint="default"/>
      </w:rPr>
    </w:lvl>
    <w:lvl w:ilvl="2" w:tplc="38B83720" w:tentative="1">
      <w:start w:val="1"/>
      <w:numFmt w:val="bullet"/>
      <w:lvlText w:val=""/>
      <w:lvlJc w:val="left"/>
      <w:pPr>
        <w:ind w:left="2160" w:hanging="360"/>
      </w:pPr>
      <w:rPr>
        <w:rFonts w:ascii="Wingdings" w:hAnsi="Wingdings" w:hint="default"/>
      </w:rPr>
    </w:lvl>
    <w:lvl w:ilvl="3" w:tplc="55DC3F82" w:tentative="1">
      <w:start w:val="1"/>
      <w:numFmt w:val="bullet"/>
      <w:lvlText w:val=""/>
      <w:lvlJc w:val="left"/>
      <w:pPr>
        <w:ind w:left="2880" w:hanging="360"/>
      </w:pPr>
      <w:rPr>
        <w:rFonts w:ascii="Symbol" w:hAnsi="Symbol" w:hint="default"/>
      </w:rPr>
    </w:lvl>
    <w:lvl w:ilvl="4" w:tplc="D8B8AE10" w:tentative="1">
      <w:start w:val="1"/>
      <w:numFmt w:val="bullet"/>
      <w:lvlText w:val="o"/>
      <w:lvlJc w:val="left"/>
      <w:pPr>
        <w:ind w:left="3600" w:hanging="360"/>
      </w:pPr>
      <w:rPr>
        <w:rFonts w:ascii="Courier New" w:hAnsi="Courier New" w:cs="Courier New" w:hint="default"/>
      </w:rPr>
    </w:lvl>
    <w:lvl w:ilvl="5" w:tplc="0EEAA15A" w:tentative="1">
      <w:start w:val="1"/>
      <w:numFmt w:val="bullet"/>
      <w:lvlText w:val=""/>
      <w:lvlJc w:val="left"/>
      <w:pPr>
        <w:ind w:left="4320" w:hanging="360"/>
      </w:pPr>
      <w:rPr>
        <w:rFonts w:ascii="Wingdings" w:hAnsi="Wingdings" w:hint="default"/>
      </w:rPr>
    </w:lvl>
    <w:lvl w:ilvl="6" w:tplc="7CFC7388" w:tentative="1">
      <w:start w:val="1"/>
      <w:numFmt w:val="bullet"/>
      <w:lvlText w:val=""/>
      <w:lvlJc w:val="left"/>
      <w:pPr>
        <w:ind w:left="5040" w:hanging="360"/>
      </w:pPr>
      <w:rPr>
        <w:rFonts w:ascii="Symbol" w:hAnsi="Symbol" w:hint="default"/>
      </w:rPr>
    </w:lvl>
    <w:lvl w:ilvl="7" w:tplc="8940FDEA" w:tentative="1">
      <w:start w:val="1"/>
      <w:numFmt w:val="bullet"/>
      <w:lvlText w:val="o"/>
      <w:lvlJc w:val="left"/>
      <w:pPr>
        <w:ind w:left="5760" w:hanging="360"/>
      </w:pPr>
      <w:rPr>
        <w:rFonts w:ascii="Courier New" w:hAnsi="Courier New" w:cs="Courier New" w:hint="default"/>
      </w:rPr>
    </w:lvl>
    <w:lvl w:ilvl="8" w:tplc="91BED21C" w:tentative="1">
      <w:start w:val="1"/>
      <w:numFmt w:val="bullet"/>
      <w:lvlText w:val=""/>
      <w:lvlJc w:val="left"/>
      <w:pPr>
        <w:ind w:left="6480" w:hanging="360"/>
      </w:pPr>
      <w:rPr>
        <w:rFonts w:ascii="Wingdings" w:hAnsi="Wingdings" w:hint="default"/>
      </w:rPr>
    </w:lvl>
  </w:abstractNum>
  <w:abstractNum w:abstractNumId="6" w15:restartNumberingAfterBreak="0">
    <w:nsid w:val="1EC4707D"/>
    <w:multiLevelType w:val="hybridMultilevel"/>
    <w:tmpl w:val="8E7C97BE"/>
    <w:lvl w:ilvl="0" w:tplc="5FEEAC64">
      <w:start w:val="1"/>
      <w:numFmt w:val="bullet"/>
      <w:lvlText w:val=""/>
      <w:lvlJc w:val="left"/>
      <w:pPr>
        <w:ind w:left="720" w:hanging="360"/>
      </w:pPr>
      <w:rPr>
        <w:rFonts w:ascii="Symbol" w:hAnsi="Symbol" w:hint="default"/>
      </w:rPr>
    </w:lvl>
    <w:lvl w:ilvl="1" w:tplc="130AB936" w:tentative="1">
      <w:start w:val="1"/>
      <w:numFmt w:val="bullet"/>
      <w:lvlText w:val="o"/>
      <w:lvlJc w:val="left"/>
      <w:pPr>
        <w:ind w:left="1440" w:hanging="360"/>
      </w:pPr>
      <w:rPr>
        <w:rFonts w:ascii="Courier New" w:hAnsi="Courier New" w:cs="Courier New" w:hint="default"/>
      </w:rPr>
    </w:lvl>
    <w:lvl w:ilvl="2" w:tplc="CDDC00C0" w:tentative="1">
      <w:start w:val="1"/>
      <w:numFmt w:val="bullet"/>
      <w:lvlText w:val=""/>
      <w:lvlJc w:val="left"/>
      <w:pPr>
        <w:ind w:left="2160" w:hanging="360"/>
      </w:pPr>
      <w:rPr>
        <w:rFonts w:ascii="Wingdings" w:hAnsi="Wingdings" w:hint="default"/>
      </w:rPr>
    </w:lvl>
    <w:lvl w:ilvl="3" w:tplc="03401576" w:tentative="1">
      <w:start w:val="1"/>
      <w:numFmt w:val="bullet"/>
      <w:lvlText w:val=""/>
      <w:lvlJc w:val="left"/>
      <w:pPr>
        <w:ind w:left="2880" w:hanging="360"/>
      </w:pPr>
      <w:rPr>
        <w:rFonts w:ascii="Symbol" w:hAnsi="Symbol" w:hint="default"/>
      </w:rPr>
    </w:lvl>
    <w:lvl w:ilvl="4" w:tplc="C85C1FE2" w:tentative="1">
      <w:start w:val="1"/>
      <w:numFmt w:val="bullet"/>
      <w:lvlText w:val="o"/>
      <w:lvlJc w:val="left"/>
      <w:pPr>
        <w:ind w:left="3600" w:hanging="360"/>
      </w:pPr>
      <w:rPr>
        <w:rFonts w:ascii="Courier New" w:hAnsi="Courier New" w:cs="Courier New" w:hint="default"/>
      </w:rPr>
    </w:lvl>
    <w:lvl w:ilvl="5" w:tplc="7FB48D66" w:tentative="1">
      <w:start w:val="1"/>
      <w:numFmt w:val="bullet"/>
      <w:lvlText w:val=""/>
      <w:lvlJc w:val="left"/>
      <w:pPr>
        <w:ind w:left="4320" w:hanging="360"/>
      </w:pPr>
      <w:rPr>
        <w:rFonts w:ascii="Wingdings" w:hAnsi="Wingdings" w:hint="default"/>
      </w:rPr>
    </w:lvl>
    <w:lvl w:ilvl="6" w:tplc="0CC64DBA" w:tentative="1">
      <w:start w:val="1"/>
      <w:numFmt w:val="bullet"/>
      <w:lvlText w:val=""/>
      <w:lvlJc w:val="left"/>
      <w:pPr>
        <w:ind w:left="5040" w:hanging="360"/>
      </w:pPr>
      <w:rPr>
        <w:rFonts w:ascii="Symbol" w:hAnsi="Symbol" w:hint="default"/>
      </w:rPr>
    </w:lvl>
    <w:lvl w:ilvl="7" w:tplc="65504EBC" w:tentative="1">
      <w:start w:val="1"/>
      <w:numFmt w:val="bullet"/>
      <w:lvlText w:val="o"/>
      <w:lvlJc w:val="left"/>
      <w:pPr>
        <w:ind w:left="5760" w:hanging="360"/>
      </w:pPr>
      <w:rPr>
        <w:rFonts w:ascii="Courier New" w:hAnsi="Courier New" w:cs="Courier New" w:hint="default"/>
      </w:rPr>
    </w:lvl>
    <w:lvl w:ilvl="8" w:tplc="F5F20EC8" w:tentative="1">
      <w:start w:val="1"/>
      <w:numFmt w:val="bullet"/>
      <w:lvlText w:val=""/>
      <w:lvlJc w:val="left"/>
      <w:pPr>
        <w:ind w:left="6480" w:hanging="360"/>
      </w:pPr>
      <w:rPr>
        <w:rFonts w:ascii="Wingdings" w:hAnsi="Wingdings" w:hint="default"/>
      </w:rPr>
    </w:lvl>
  </w:abstractNum>
  <w:abstractNum w:abstractNumId="7" w15:restartNumberingAfterBreak="0">
    <w:nsid w:val="20E36A01"/>
    <w:multiLevelType w:val="hybridMultilevel"/>
    <w:tmpl w:val="EB6073F4"/>
    <w:lvl w:ilvl="0" w:tplc="FCB073A0">
      <w:numFmt w:val="bullet"/>
      <w:lvlText w:val="•"/>
      <w:lvlJc w:val="left"/>
      <w:pPr>
        <w:ind w:left="1080" w:hanging="720"/>
      </w:pPr>
      <w:rPr>
        <w:rFonts w:ascii="Arial Narrow" w:eastAsiaTheme="minorHAnsi" w:hAnsi="Arial Narrow" w:cstheme="minorBidi" w:hint="default"/>
      </w:rPr>
    </w:lvl>
    <w:lvl w:ilvl="1" w:tplc="65C24118" w:tentative="1">
      <w:start w:val="1"/>
      <w:numFmt w:val="bullet"/>
      <w:lvlText w:val="o"/>
      <w:lvlJc w:val="left"/>
      <w:pPr>
        <w:ind w:left="1440" w:hanging="360"/>
      </w:pPr>
      <w:rPr>
        <w:rFonts w:ascii="Courier New" w:hAnsi="Courier New" w:cs="Courier New" w:hint="default"/>
      </w:rPr>
    </w:lvl>
    <w:lvl w:ilvl="2" w:tplc="C1EAB3E2" w:tentative="1">
      <w:start w:val="1"/>
      <w:numFmt w:val="bullet"/>
      <w:lvlText w:val=""/>
      <w:lvlJc w:val="left"/>
      <w:pPr>
        <w:ind w:left="2160" w:hanging="360"/>
      </w:pPr>
      <w:rPr>
        <w:rFonts w:ascii="Wingdings" w:hAnsi="Wingdings" w:hint="default"/>
      </w:rPr>
    </w:lvl>
    <w:lvl w:ilvl="3" w:tplc="95F07B72" w:tentative="1">
      <w:start w:val="1"/>
      <w:numFmt w:val="bullet"/>
      <w:lvlText w:val=""/>
      <w:lvlJc w:val="left"/>
      <w:pPr>
        <w:ind w:left="2880" w:hanging="360"/>
      </w:pPr>
      <w:rPr>
        <w:rFonts w:ascii="Symbol" w:hAnsi="Symbol" w:hint="default"/>
      </w:rPr>
    </w:lvl>
    <w:lvl w:ilvl="4" w:tplc="5762C56C" w:tentative="1">
      <w:start w:val="1"/>
      <w:numFmt w:val="bullet"/>
      <w:lvlText w:val="o"/>
      <w:lvlJc w:val="left"/>
      <w:pPr>
        <w:ind w:left="3600" w:hanging="360"/>
      </w:pPr>
      <w:rPr>
        <w:rFonts w:ascii="Courier New" w:hAnsi="Courier New" w:cs="Courier New" w:hint="default"/>
      </w:rPr>
    </w:lvl>
    <w:lvl w:ilvl="5" w:tplc="3C32AB56" w:tentative="1">
      <w:start w:val="1"/>
      <w:numFmt w:val="bullet"/>
      <w:lvlText w:val=""/>
      <w:lvlJc w:val="left"/>
      <w:pPr>
        <w:ind w:left="4320" w:hanging="360"/>
      </w:pPr>
      <w:rPr>
        <w:rFonts w:ascii="Wingdings" w:hAnsi="Wingdings" w:hint="default"/>
      </w:rPr>
    </w:lvl>
    <w:lvl w:ilvl="6" w:tplc="9B98A02A" w:tentative="1">
      <w:start w:val="1"/>
      <w:numFmt w:val="bullet"/>
      <w:lvlText w:val=""/>
      <w:lvlJc w:val="left"/>
      <w:pPr>
        <w:ind w:left="5040" w:hanging="360"/>
      </w:pPr>
      <w:rPr>
        <w:rFonts w:ascii="Symbol" w:hAnsi="Symbol" w:hint="default"/>
      </w:rPr>
    </w:lvl>
    <w:lvl w:ilvl="7" w:tplc="E8DE35A0" w:tentative="1">
      <w:start w:val="1"/>
      <w:numFmt w:val="bullet"/>
      <w:lvlText w:val="o"/>
      <w:lvlJc w:val="left"/>
      <w:pPr>
        <w:ind w:left="5760" w:hanging="360"/>
      </w:pPr>
      <w:rPr>
        <w:rFonts w:ascii="Courier New" w:hAnsi="Courier New" w:cs="Courier New" w:hint="default"/>
      </w:rPr>
    </w:lvl>
    <w:lvl w:ilvl="8" w:tplc="BD701A02" w:tentative="1">
      <w:start w:val="1"/>
      <w:numFmt w:val="bullet"/>
      <w:lvlText w:val=""/>
      <w:lvlJc w:val="left"/>
      <w:pPr>
        <w:ind w:left="6480" w:hanging="360"/>
      </w:pPr>
      <w:rPr>
        <w:rFonts w:ascii="Wingdings" w:hAnsi="Wingdings" w:hint="default"/>
      </w:rPr>
    </w:lvl>
  </w:abstractNum>
  <w:abstractNum w:abstractNumId="8" w15:restartNumberingAfterBreak="0">
    <w:nsid w:val="2781328C"/>
    <w:multiLevelType w:val="hybridMultilevel"/>
    <w:tmpl w:val="E976E726"/>
    <w:lvl w:ilvl="0" w:tplc="7EF634E0">
      <w:start w:val="1"/>
      <w:numFmt w:val="bullet"/>
      <w:lvlText w:val=""/>
      <w:lvlJc w:val="left"/>
      <w:pPr>
        <w:ind w:left="720" w:hanging="360"/>
      </w:pPr>
      <w:rPr>
        <w:rFonts w:ascii="Symbol" w:hAnsi="Symbol" w:hint="default"/>
      </w:rPr>
    </w:lvl>
    <w:lvl w:ilvl="1" w:tplc="D6D2DEE2" w:tentative="1">
      <w:start w:val="1"/>
      <w:numFmt w:val="bullet"/>
      <w:lvlText w:val="o"/>
      <w:lvlJc w:val="left"/>
      <w:pPr>
        <w:ind w:left="1440" w:hanging="360"/>
      </w:pPr>
      <w:rPr>
        <w:rFonts w:ascii="Courier New" w:hAnsi="Courier New" w:cs="Courier New" w:hint="default"/>
      </w:rPr>
    </w:lvl>
    <w:lvl w:ilvl="2" w:tplc="47609BAC" w:tentative="1">
      <w:start w:val="1"/>
      <w:numFmt w:val="bullet"/>
      <w:lvlText w:val=""/>
      <w:lvlJc w:val="left"/>
      <w:pPr>
        <w:ind w:left="2160" w:hanging="360"/>
      </w:pPr>
      <w:rPr>
        <w:rFonts w:ascii="Wingdings" w:hAnsi="Wingdings" w:hint="default"/>
      </w:rPr>
    </w:lvl>
    <w:lvl w:ilvl="3" w:tplc="8EB2D750" w:tentative="1">
      <w:start w:val="1"/>
      <w:numFmt w:val="bullet"/>
      <w:lvlText w:val=""/>
      <w:lvlJc w:val="left"/>
      <w:pPr>
        <w:ind w:left="2880" w:hanging="360"/>
      </w:pPr>
      <w:rPr>
        <w:rFonts w:ascii="Symbol" w:hAnsi="Symbol" w:hint="default"/>
      </w:rPr>
    </w:lvl>
    <w:lvl w:ilvl="4" w:tplc="C5EC9208" w:tentative="1">
      <w:start w:val="1"/>
      <w:numFmt w:val="bullet"/>
      <w:lvlText w:val="o"/>
      <w:lvlJc w:val="left"/>
      <w:pPr>
        <w:ind w:left="3600" w:hanging="360"/>
      </w:pPr>
      <w:rPr>
        <w:rFonts w:ascii="Courier New" w:hAnsi="Courier New" w:cs="Courier New" w:hint="default"/>
      </w:rPr>
    </w:lvl>
    <w:lvl w:ilvl="5" w:tplc="E60E665E" w:tentative="1">
      <w:start w:val="1"/>
      <w:numFmt w:val="bullet"/>
      <w:lvlText w:val=""/>
      <w:lvlJc w:val="left"/>
      <w:pPr>
        <w:ind w:left="4320" w:hanging="360"/>
      </w:pPr>
      <w:rPr>
        <w:rFonts w:ascii="Wingdings" w:hAnsi="Wingdings" w:hint="default"/>
      </w:rPr>
    </w:lvl>
    <w:lvl w:ilvl="6" w:tplc="B2121022" w:tentative="1">
      <w:start w:val="1"/>
      <w:numFmt w:val="bullet"/>
      <w:lvlText w:val=""/>
      <w:lvlJc w:val="left"/>
      <w:pPr>
        <w:ind w:left="5040" w:hanging="360"/>
      </w:pPr>
      <w:rPr>
        <w:rFonts w:ascii="Symbol" w:hAnsi="Symbol" w:hint="default"/>
      </w:rPr>
    </w:lvl>
    <w:lvl w:ilvl="7" w:tplc="2828EB2C" w:tentative="1">
      <w:start w:val="1"/>
      <w:numFmt w:val="bullet"/>
      <w:lvlText w:val="o"/>
      <w:lvlJc w:val="left"/>
      <w:pPr>
        <w:ind w:left="5760" w:hanging="360"/>
      </w:pPr>
      <w:rPr>
        <w:rFonts w:ascii="Courier New" w:hAnsi="Courier New" w:cs="Courier New" w:hint="default"/>
      </w:rPr>
    </w:lvl>
    <w:lvl w:ilvl="8" w:tplc="BD480862" w:tentative="1">
      <w:start w:val="1"/>
      <w:numFmt w:val="bullet"/>
      <w:lvlText w:val=""/>
      <w:lvlJc w:val="left"/>
      <w:pPr>
        <w:ind w:left="6480" w:hanging="360"/>
      </w:pPr>
      <w:rPr>
        <w:rFonts w:ascii="Wingdings" w:hAnsi="Wingdings" w:hint="default"/>
      </w:rPr>
    </w:lvl>
  </w:abstractNum>
  <w:abstractNum w:abstractNumId="9" w15:restartNumberingAfterBreak="0">
    <w:nsid w:val="2A024566"/>
    <w:multiLevelType w:val="hybridMultilevel"/>
    <w:tmpl w:val="621660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C12663"/>
    <w:multiLevelType w:val="hybridMultilevel"/>
    <w:tmpl w:val="AD88E1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FF0915"/>
    <w:multiLevelType w:val="hybridMultilevel"/>
    <w:tmpl w:val="574EDC08"/>
    <w:lvl w:ilvl="0" w:tplc="0E7A9FC2">
      <w:start w:val="1"/>
      <w:numFmt w:val="bullet"/>
      <w:lvlText w:val=""/>
      <w:lvlJc w:val="left"/>
      <w:pPr>
        <w:ind w:left="720" w:hanging="360"/>
      </w:pPr>
      <w:rPr>
        <w:rFonts w:ascii="Symbol" w:hAnsi="Symbol" w:hint="default"/>
      </w:rPr>
    </w:lvl>
    <w:lvl w:ilvl="1" w:tplc="686688CA" w:tentative="1">
      <w:start w:val="1"/>
      <w:numFmt w:val="bullet"/>
      <w:lvlText w:val="o"/>
      <w:lvlJc w:val="left"/>
      <w:pPr>
        <w:ind w:left="1440" w:hanging="360"/>
      </w:pPr>
      <w:rPr>
        <w:rFonts w:ascii="Courier New" w:hAnsi="Courier New" w:cs="Courier New" w:hint="default"/>
      </w:rPr>
    </w:lvl>
    <w:lvl w:ilvl="2" w:tplc="2D36C2EC" w:tentative="1">
      <w:start w:val="1"/>
      <w:numFmt w:val="bullet"/>
      <w:lvlText w:val=""/>
      <w:lvlJc w:val="left"/>
      <w:pPr>
        <w:ind w:left="2160" w:hanging="360"/>
      </w:pPr>
      <w:rPr>
        <w:rFonts w:ascii="Wingdings" w:hAnsi="Wingdings" w:hint="default"/>
      </w:rPr>
    </w:lvl>
    <w:lvl w:ilvl="3" w:tplc="51C674BA" w:tentative="1">
      <w:start w:val="1"/>
      <w:numFmt w:val="bullet"/>
      <w:lvlText w:val=""/>
      <w:lvlJc w:val="left"/>
      <w:pPr>
        <w:ind w:left="2880" w:hanging="360"/>
      </w:pPr>
      <w:rPr>
        <w:rFonts w:ascii="Symbol" w:hAnsi="Symbol" w:hint="default"/>
      </w:rPr>
    </w:lvl>
    <w:lvl w:ilvl="4" w:tplc="A3E2AEA2" w:tentative="1">
      <w:start w:val="1"/>
      <w:numFmt w:val="bullet"/>
      <w:lvlText w:val="o"/>
      <w:lvlJc w:val="left"/>
      <w:pPr>
        <w:ind w:left="3600" w:hanging="360"/>
      </w:pPr>
      <w:rPr>
        <w:rFonts w:ascii="Courier New" w:hAnsi="Courier New" w:cs="Courier New" w:hint="default"/>
      </w:rPr>
    </w:lvl>
    <w:lvl w:ilvl="5" w:tplc="06F09360" w:tentative="1">
      <w:start w:val="1"/>
      <w:numFmt w:val="bullet"/>
      <w:lvlText w:val=""/>
      <w:lvlJc w:val="left"/>
      <w:pPr>
        <w:ind w:left="4320" w:hanging="360"/>
      </w:pPr>
      <w:rPr>
        <w:rFonts w:ascii="Wingdings" w:hAnsi="Wingdings" w:hint="default"/>
      </w:rPr>
    </w:lvl>
    <w:lvl w:ilvl="6" w:tplc="61E63694" w:tentative="1">
      <w:start w:val="1"/>
      <w:numFmt w:val="bullet"/>
      <w:lvlText w:val=""/>
      <w:lvlJc w:val="left"/>
      <w:pPr>
        <w:ind w:left="5040" w:hanging="360"/>
      </w:pPr>
      <w:rPr>
        <w:rFonts w:ascii="Symbol" w:hAnsi="Symbol" w:hint="default"/>
      </w:rPr>
    </w:lvl>
    <w:lvl w:ilvl="7" w:tplc="20E8E2A6" w:tentative="1">
      <w:start w:val="1"/>
      <w:numFmt w:val="bullet"/>
      <w:lvlText w:val="o"/>
      <w:lvlJc w:val="left"/>
      <w:pPr>
        <w:ind w:left="5760" w:hanging="360"/>
      </w:pPr>
      <w:rPr>
        <w:rFonts w:ascii="Courier New" w:hAnsi="Courier New" w:cs="Courier New" w:hint="default"/>
      </w:rPr>
    </w:lvl>
    <w:lvl w:ilvl="8" w:tplc="A2263C74" w:tentative="1">
      <w:start w:val="1"/>
      <w:numFmt w:val="bullet"/>
      <w:lvlText w:val=""/>
      <w:lvlJc w:val="left"/>
      <w:pPr>
        <w:ind w:left="6480" w:hanging="360"/>
      </w:pPr>
      <w:rPr>
        <w:rFonts w:ascii="Wingdings" w:hAnsi="Wingdings" w:hint="default"/>
      </w:rPr>
    </w:lvl>
  </w:abstractNum>
  <w:abstractNum w:abstractNumId="12" w15:restartNumberingAfterBreak="0">
    <w:nsid w:val="30F13A9E"/>
    <w:multiLevelType w:val="hybridMultilevel"/>
    <w:tmpl w:val="0F023C6E"/>
    <w:lvl w:ilvl="0" w:tplc="E5209480">
      <w:start w:val="1"/>
      <w:numFmt w:val="bullet"/>
      <w:lvlText w:val=""/>
      <w:lvlJc w:val="left"/>
      <w:pPr>
        <w:ind w:left="720" w:hanging="360"/>
      </w:pPr>
      <w:rPr>
        <w:rFonts w:ascii="Symbol" w:hAnsi="Symbol" w:hint="default"/>
      </w:rPr>
    </w:lvl>
    <w:lvl w:ilvl="1" w:tplc="6C3823FA" w:tentative="1">
      <w:start w:val="1"/>
      <w:numFmt w:val="bullet"/>
      <w:lvlText w:val="o"/>
      <w:lvlJc w:val="left"/>
      <w:pPr>
        <w:ind w:left="1440" w:hanging="360"/>
      </w:pPr>
      <w:rPr>
        <w:rFonts w:ascii="Courier New" w:hAnsi="Courier New" w:cs="Courier New" w:hint="default"/>
      </w:rPr>
    </w:lvl>
    <w:lvl w:ilvl="2" w:tplc="9432A828" w:tentative="1">
      <w:start w:val="1"/>
      <w:numFmt w:val="bullet"/>
      <w:lvlText w:val=""/>
      <w:lvlJc w:val="left"/>
      <w:pPr>
        <w:ind w:left="2160" w:hanging="360"/>
      </w:pPr>
      <w:rPr>
        <w:rFonts w:ascii="Wingdings" w:hAnsi="Wingdings" w:hint="default"/>
      </w:rPr>
    </w:lvl>
    <w:lvl w:ilvl="3" w:tplc="B82CFB0A" w:tentative="1">
      <w:start w:val="1"/>
      <w:numFmt w:val="bullet"/>
      <w:lvlText w:val=""/>
      <w:lvlJc w:val="left"/>
      <w:pPr>
        <w:ind w:left="2880" w:hanging="360"/>
      </w:pPr>
      <w:rPr>
        <w:rFonts w:ascii="Symbol" w:hAnsi="Symbol" w:hint="default"/>
      </w:rPr>
    </w:lvl>
    <w:lvl w:ilvl="4" w:tplc="478878EE" w:tentative="1">
      <w:start w:val="1"/>
      <w:numFmt w:val="bullet"/>
      <w:lvlText w:val="o"/>
      <w:lvlJc w:val="left"/>
      <w:pPr>
        <w:ind w:left="3600" w:hanging="360"/>
      </w:pPr>
      <w:rPr>
        <w:rFonts w:ascii="Courier New" w:hAnsi="Courier New" w:cs="Courier New" w:hint="default"/>
      </w:rPr>
    </w:lvl>
    <w:lvl w:ilvl="5" w:tplc="AC1C253A" w:tentative="1">
      <w:start w:val="1"/>
      <w:numFmt w:val="bullet"/>
      <w:lvlText w:val=""/>
      <w:lvlJc w:val="left"/>
      <w:pPr>
        <w:ind w:left="4320" w:hanging="360"/>
      </w:pPr>
      <w:rPr>
        <w:rFonts w:ascii="Wingdings" w:hAnsi="Wingdings" w:hint="default"/>
      </w:rPr>
    </w:lvl>
    <w:lvl w:ilvl="6" w:tplc="8AC41B02" w:tentative="1">
      <w:start w:val="1"/>
      <w:numFmt w:val="bullet"/>
      <w:lvlText w:val=""/>
      <w:lvlJc w:val="left"/>
      <w:pPr>
        <w:ind w:left="5040" w:hanging="360"/>
      </w:pPr>
      <w:rPr>
        <w:rFonts w:ascii="Symbol" w:hAnsi="Symbol" w:hint="default"/>
      </w:rPr>
    </w:lvl>
    <w:lvl w:ilvl="7" w:tplc="611E214E" w:tentative="1">
      <w:start w:val="1"/>
      <w:numFmt w:val="bullet"/>
      <w:lvlText w:val="o"/>
      <w:lvlJc w:val="left"/>
      <w:pPr>
        <w:ind w:left="5760" w:hanging="360"/>
      </w:pPr>
      <w:rPr>
        <w:rFonts w:ascii="Courier New" w:hAnsi="Courier New" w:cs="Courier New" w:hint="default"/>
      </w:rPr>
    </w:lvl>
    <w:lvl w:ilvl="8" w:tplc="288CD824" w:tentative="1">
      <w:start w:val="1"/>
      <w:numFmt w:val="bullet"/>
      <w:lvlText w:val=""/>
      <w:lvlJc w:val="left"/>
      <w:pPr>
        <w:ind w:left="6480" w:hanging="360"/>
      </w:pPr>
      <w:rPr>
        <w:rFonts w:ascii="Wingdings" w:hAnsi="Wingdings" w:hint="default"/>
      </w:rPr>
    </w:lvl>
  </w:abstractNum>
  <w:abstractNum w:abstractNumId="13" w15:restartNumberingAfterBreak="0">
    <w:nsid w:val="31E566E0"/>
    <w:multiLevelType w:val="hybridMultilevel"/>
    <w:tmpl w:val="B8A0728C"/>
    <w:lvl w:ilvl="0" w:tplc="F5F69328">
      <w:start w:val="1"/>
      <w:numFmt w:val="bullet"/>
      <w:lvlText w:val=""/>
      <w:lvlJc w:val="left"/>
      <w:pPr>
        <w:ind w:left="720" w:hanging="360"/>
      </w:pPr>
      <w:rPr>
        <w:rFonts w:ascii="Symbol" w:hAnsi="Symbol" w:hint="default"/>
      </w:rPr>
    </w:lvl>
    <w:lvl w:ilvl="1" w:tplc="FCA6F420" w:tentative="1">
      <w:start w:val="1"/>
      <w:numFmt w:val="bullet"/>
      <w:lvlText w:val="o"/>
      <w:lvlJc w:val="left"/>
      <w:pPr>
        <w:ind w:left="1440" w:hanging="360"/>
      </w:pPr>
      <w:rPr>
        <w:rFonts w:ascii="Courier New" w:hAnsi="Courier New" w:cs="Courier New" w:hint="default"/>
      </w:rPr>
    </w:lvl>
    <w:lvl w:ilvl="2" w:tplc="34C6F4C8" w:tentative="1">
      <w:start w:val="1"/>
      <w:numFmt w:val="bullet"/>
      <w:lvlText w:val=""/>
      <w:lvlJc w:val="left"/>
      <w:pPr>
        <w:ind w:left="2160" w:hanging="360"/>
      </w:pPr>
      <w:rPr>
        <w:rFonts w:ascii="Wingdings" w:hAnsi="Wingdings" w:hint="default"/>
      </w:rPr>
    </w:lvl>
    <w:lvl w:ilvl="3" w:tplc="4C84E822" w:tentative="1">
      <w:start w:val="1"/>
      <w:numFmt w:val="bullet"/>
      <w:lvlText w:val=""/>
      <w:lvlJc w:val="left"/>
      <w:pPr>
        <w:ind w:left="2880" w:hanging="360"/>
      </w:pPr>
      <w:rPr>
        <w:rFonts w:ascii="Symbol" w:hAnsi="Symbol" w:hint="default"/>
      </w:rPr>
    </w:lvl>
    <w:lvl w:ilvl="4" w:tplc="FDA09B3C" w:tentative="1">
      <w:start w:val="1"/>
      <w:numFmt w:val="bullet"/>
      <w:lvlText w:val="o"/>
      <w:lvlJc w:val="left"/>
      <w:pPr>
        <w:ind w:left="3600" w:hanging="360"/>
      </w:pPr>
      <w:rPr>
        <w:rFonts w:ascii="Courier New" w:hAnsi="Courier New" w:cs="Courier New" w:hint="default"/>
      </w:rPr>
    </w:lvl>
    <w:lvl w:ilvl="5" w:tplc="C1C66B3E" w:tentative="1">
      <w:start w:val="1"/>
      <w:numFmt w:val="bullet"/>
      <w:lvlText w:val=""/>
      <w:lvlJc w:val="left"/>
      <w:pPr>
        <w:ind w:left="4320" w:hanging="360"/>
      </w:pPr>
      <w:rPr>
        <w:rFonts w:ascii="Wingdings" w:hAnsi="Wingdings" w:hint="default"/>
      </w:rPr>
    </w:lvl>
    <w:lvl w:ilvl="6" w:tplc="C896AE2C" w:tentative="1">
      <w:start w:val="1"/>
      <w:numFmt w:val="bullet"/>
      <w:lvlText w:val=""/>
      <w:lvlJc w:val="left"/>
      <w:pPr>
        <w:ind w:left="5040" w:hanging="360"/>
      </w:pPr>
      <w:rPr>
        <w:rFonts w:ascii="Symbol" w:hAnsi="Symbol" w:hint="default"/>
      </w:rPr>
    </w:lvl>
    <w:lvl w:ilvl="7" w:tplc="3912B04C" w:tentative="1">
      <w:start w:val="1"/>
      <w:numFmt w:val="bullet"/>
      <w:lvlText w:val="o"/>
      <w:lvlJc w:val="left"/>
      <w:pPr>
        <w:ind w:left="5760" w:hanging="360"/>
      </w:pPr>
      <w:rPr>
        <w:rFonts w:ascii="Courier New" w:hAnsi="Courier New" w:cs="Courier New" w:hint="default"/>
      </w:rPr>
    </w:lvl>
    <w:lvl w:ilvl="8" w:tplc="D5E08FDC" w:tentative="1">
      <w:start w:val="1"/>
      <w:numFmt w:val="bullet"/>
      <w:lvlText w:val=""/>
      <w:lvlJc w:val="left"/>
      <w:pPr>
        <w:ind w:left="6480" w:hanging="360"/>
      </w:pPr>
      <w:rPr>
        <w:rFonts w:ascii="Wingdings" w:hAnsi="Wingdings" w:hint="default"/>
      </w:rPr>
    </w:lvl>
  </w:abstractNum>
  <w:abstractNum w:abstractNumId="14" w15:restartNumberingAfterBreak="0">
    <w:nsid w:val="3921561F"/>
    <w:multiLevelType w:val="hybridMultilevel"/>
    <w:tmpl w:val="600AEEAE"/>
    <w:lvl w:ilvl="0" w:tplc="F59270F0">
      <w:start w:val="1"/>
      <w:numFmt w:val="bullet"/>
      <w:lvlText w:val=""/>
      <w:lvlJc w:val="left"/>
      <w:pPr>
        <w:ind w:left="720" w:hanging="360"/>
      </w:pPr>
      <w:rPr>
        <w:rFonts w:ascii="Symbol" w:hAnsi="Symbol" w:hint="default"/>
      </w:rPr>
    </w:lvl>
    <w:lvl w:ilvl="1" w:tplc="3A36AB4E" w:tentative="1">
      <w:start w:val="1"/>
      <w:numFmt w:val="bullet"/>
      <w:lvlText w:val="o"/>
      <w:lvlJc w:val="left"/>
      <w:pPr>
        <w:ind w:left="1440" w:hanging="360"/>
      </w:pPr>
      <w:rPr>
        <w:rFonts w:ascii="Courier New" w:hAnsi="Courier New" w:cs="Courier New" w:hint="default"/>
      </w:rPr>
    </w:lvl>
    <w:lvl w:ilvl="2" w:tplc="4C56E64C" w:tentative="1">
      <w:start w:val="1"/>
      <w:numFmt w:val="bullet"/>
      <w:lvlText w:val=""/>
      <w:lvlJc w:val="left"/>
      <w:pPr>
        <w:ind w:left="2160" w:hanging="360"/>
      </w:pPr>
      <w:rPr>
        <w:rFonts w:ascii="Wingdings" w:hAnsi="Wingdings" w:hint="default"/>
      </w:rPr>
    </w:lvl>
    <w:lvl w:ilvl="3" w:tplc="B5F070D4" w:tentative="1">
      <w:start w:val="1"/>
      <w:numFmt w:val="bullet"/>
      <w:lvlText w:val=""/>
      <w:lvlJc w:val="left"/>
      <w:pPr>
        <w:ind w:left="2880" w:hanging="360"/>
      </w:pPr>
      <w:rPr>
        <w:rFonts w:ascii="Symbol" w:hAnsi="Symbol" w:hint="default"/>
      </w:rPr>
    </w:lvl>
    <w:lvl w:ilvl="4" w:tplc="18F6F0C0" w:tentative="1">
      <w:start w:val="1"/>
      <w:numFmt w:val="bullet"/>
      <w:lvlText w:val="o"/>
      <w:lvlJc w:val="left"/>
      <w:pPr>
        <w:ind w:left="3600" w:hanging="360"/>
      </w:pPr>
      <w:rPr>
        <w:rFonts w:ascii="Courier New" w:hAnsi="Courier New" w:cs="Courier New" w:hint="default"/>
      </w:rPr>
    </w:lvl>
    <w:lvl w:ilvl="5" w:tplc="BDFC1F60" w:tentative="1">
      <w:start w:val="1"/>
      <w:numFmt w:val="bullet"/>
      <w:lvlText w:val=""/>
      <w:lvlJc w:val="left"/>
      <w:pPr>
        <w:ind w:left="4320" w:hanging="360"/>
      </w:pPr>
      <w:rPr>
        <w:rFonts w:ascii="Wingdings" w:hAnsi="Wingdings" w:hint="default"/>
      </w:rPr>
    </w:lvl>
    <w:lvl w:ilvl="6" w:tplc="FDB258D8" w:tentative="1">
      <w:start w:val="1"/>
      <w:numFmt w:val="bullet"/>
      <w:lvlText w:val=""/>
      <w:lvlJc w:val="left"/>
      <w:pPr>
        <w:ind w:left="5040" w:hanging="360"/>
      </w:pPr>
      <w:rPr>
        <w:rFonts w:ascii="Symbol" w:hAnsi="Symbol" w:hint="default"/>
      </w:rPr>
    </w:lvl>
    <w:lvl w:ilvl="7" w:tplc="E632CE26" w:tentative="1">
      <w:start w:val="1"/>
      <w:numFmt w:val="bullet"/>
      <w:lvlText w:val="o"/>
      <w:lvlJc w:val="left"/>
      <w:pPr>
        <w:ind w:left="5760" w:hanging="360"/>
      </w:pPr>
      <w:rPr>
        <w:rFonts w:ascii="Courier New" w:hAnsi="Courier New" w:cs="Courier New" w:hint="default"/>
      </w:rPr>
    </w:lvl>
    <w:lvl w:ilvl="8" w:tplc="387C38F4" w:tentative="1">
      <w:start w:val="1"/>
      <w:numFmt w:val="bullet"/>
      <w:lvlText w:val=""/>
      <w:lvlJc w:val="left"/>
      <w:pPr>
        <w:ind w:left="6480" w:hanging="360"/>
      </w:pPr>
      <w:rPr>
        <w:rFonts w:ascii="Wingdings" w:hAnsi="Wingdings" w:hint="default"/>
      </w:rPr>
    </w:lvl>
  </w:abstractNum>
  <w:abstractNum w:abstractNumId="15" w15:restartNumberingAfterBreak="0">
    <w:nsid w:val="3971768F"/>
    <w:multiLevelType w:val="hybridMultilevel"/>
    <w:tmpl w:val="F044EC06"/>
    <w:lvl w:ilvl="0" w:tplc="A8FEAD4E">
      <w:start w:val="1"/>
      <w:numFmt w:val="decimal"/>
      <w:lvlText w:val="%1)"/>
      <w:lvlJc w:val="left"/>
      <w:pPr>
        <w:ind w:left="720" w:hanging="360"/>
      </w:pPr>
      <w:rPr>
        <w:rFonts w:hint="default"/>
      </w:rPr>
    </w:lvl>
    <w:lvl w:ilvl="1" w:tplc="30744B7A" w:tentative="1">
      <w:start w:val="1"/>
      <w:numFmt w:val="lowerLetter"/>
      <w:lvlText w:val="%2."/>
      <w:lvlJc w:val="left"/>
      <w:pPr>
        <w:ind w:left="1440" w:hanging="360"/>
      </w:pPr>
    </w:lvl>
    <w:lvl w:ilvl="2" w:tplc="D86E873C" w:tentative="1">
      <w:start w:val="1"/>
      <w:numFmt w:val="lowerRoman"/>
      <w:lvlText w:val="%3."/>
      <w:lvlJc w:val="right"/>
      <w:pPr>
        <w:ind w:left="2160" w:hanging="180"/>
      </w:pPr>
    </w:lvl>
    <w:lvl w:ilvl="3" w:tplc="8BB08B32" w:tentative="1">
      <w:start w:val="1"/>
      <w:numFmt w:val="decimal"/>
      <w:lvlText w:val="%4."/>
      <w:lvlJc w:val="left"/>
      <w:pPr>
        <w:ind w:left="2880" w:hanging="360"/>
      </w:pPr>
    </w:lvl>
    <w:lvl w:ilvl="4" w:tplc="8B3E63C8" w:tentative="1">
      <w:start w:val="1"/>
      <w:numFmt w:val="lowerLetter"/>
      <w:lvlText w:val="%5."/>
      <w:lvlJc w:val="left"/>
      <w:pPr>
        <w:ind w:left="3600" w:hanging="360"/>
      </w:pPr>
    </w:lvl>
    <w:lvl w:ilvl="5" w:tplc="59A8E31E" w:tentative="1">
      <w:start w:val="1"/>
      <w:numFmt w:val="lowerRoman"/>
      <w:lvlText w:val="%6."/>
      <w:lvlJc w:val="right"/>
      <w:pPr>
        <w:ind w:left="4320" w:hanging="180"/>
      </w:pPr>
    </w:lvl>
    <w:lvl w:ilvl="6" w:tplc="9440DB7C" w:tentative="1">
      <w:start w:val="1"/>
      <w:numFmt w:val="decimal"/>
      <w:lvlText w:val="%7."/>
      <w:lvlJc w:val="left"/>
      <w:pPr>
        <w:ind w:left="5040" w:hanging="360"/>
      </w:pPr>
    </w:lvl>
    <w:lvl w:ilvl="7" w:tplc="CE485EDE" w:tentative="1">
      <w:start w:val="1"/>
      <w:numFmt w:val="lowerLetter"/>
      <w:lvlText w:val="%8."/>
      <w:lvlJc w:val="left"/>
      <w:pPr>
        <w:ind w:left="5760" w:hanging="360"/>
      </w:pPr>
    </w:lvl>
    <w:lvl w:ilvl="8" w:tplc="ED06B350" w:tentative="1">
      <w:start w:val="1"/>
      <w:numFmt w:val="lowerRoman"/>
      <w:lvlText w:val="%9."/>
      <w:lvlJc w:val="right"/>
      <w:pPr>
        <w:ind w:left="6480" w:hanging="180"/>
      </w:pPr>
    </w:lvl>
  </w:abstractNum>
  <w:abstractNum w:abstractNumId="16" w15:restartNumberingAfterBreak="0">
    <w:nsid w:val="405F4939"/>
    <w:multiLevelType w:val="hybridMultilevel"/>
    <w:tmpl w:val="EB6AE888"/>
    <w:lvl w:ilvl="0" w:tplc="769E1EDC">
      <w:start w:val="1"/>
      <w:numFmt w:val="decimal"/>
      <w:lvlText w:val="%1."/>
      <w:lvlJc w:val="left"/>
      <w:pPr>
        <w:ind w:left="720" w:hanging="360"/>
      </w:pPr>
      <w:rPr>
        <w:rFonts w:hint="default"/>
      </w:rPr>
    </w:lvl>
    <w:lvl w:ilvl="1" w:tplc="4B8A80D2" w:tentative="1">
      <w:start w:val="1"/>
      <w:numFmt w:val="lowerLetter"/>
      <w:lvlText w:val="%2."/>
      <w:lvlJc w:val="left"/>
      <w:pPr>
        <w:ind w:left="1440" w:hanging="360"/>
      </w:pPr>
    </w:lvl>
    <w:lvl w:ilvl="2" w:tplc="64D830AE" w:tentative="1">
      <w:start w:val="1"/>
      <w:numFmt w:val="lowerRoman"/>
      <w:lvlText w:val="%3."/>
      <w:lvlJc w:val="right"/>
      <w:pPr>
        <w:ind w:left="2160" w:hanging="180"/>
      </w:pPr>
    </w:lvl>
    <w:lvl w:ilvl="3" w:tplc="ED58F290" w:tentative="1">
      <w:start w:val="1"/>
      <w:numFmt w:val="decimal"/>
      <w:lvlText w:val="%4."/>
      <w:lvlJc w:val="left"/>
      <w:pPr>
        <w:ind w:left="2880" w:hanging="360"/>
      </w:pPr>
    </w:lvl>
    <w:lvl w:ilvl="4" w:tplc="285470C2" w:tentative="1">
      <w:start w:val="1"/>
      <w:numFmt w:val="lowerLetter"/>
      <w:lvlText w:val="%5."/>
      <w:lvlJc w:val="left"/>
      <w:pPr>
        <w:ind w:left="3600" w:hanging="360"/>
      </w:pPr>
    </w:lvl>
    <w:lvl w:ilvl="5" w:tplc="297E0E52" w:tentative="1">
      <w:start w:val="1"/>
      <w:numFmt w:val="lowerRoman"/>
      <w:lvlText w:val="%6."/>
      <w:lvlJc w:val="right"/>
      <w:pPr>
        <w:ind w:left="4320" w:hanging="180"/>
      </w:pPr>
    </w:lvl>
    <w:lvl w:ilvl="6" w:tplc="A088EF30" w:tentative="1">
      <w:start w:val="1"/>
      <w:numFmt w:val="decimal"/>
      <w:lvlText w:val="%7."/>
      <w:lvlJc w:val="left"/>
      <w:pPr>
        <w:ind w:left="5040" w:hanging="360"/>
      </w:pPr>
    </w:lvl>
    <w:lvl w:ilvl="7" w:tplc="BB645E76" w:tentative="1">
      <w:start w:val="1"/>
      <w:numFmt w:val="lowerLetter"/>
      <w:lvlText w:val="%8."/>
      <w:lvlJc w:val="left"/>
      <w:pPr>
        <w:ind w:left="5760" w:hanging="360"/>
      </w:pPr>
    </w:lvl>
    <w:lvl w:ilvl="8" w:tplc="6CB6003A" w:tentative="1">
      <w:start w:val="1"/>
      <w:numFmt w:val="lowerRoman"/>
      <w:lvlText w:val="%9."/>
      <w:lvlJc w:val="right"/>
      <w:pPr>
        <w:ind w:left="6480" w:hanging="180"/>
      </w:pPr>
    </w:lvl>
  </w:abstractNum>
  <w:abstractNum w:abstractNumId="17" w15:restartNumberingAfterBreak="0">
    <w:nsid w:val="431D0007"/>
    <w:multiLevelType w:val="hybridMultilevel"/>
    <w:tmpl w:val="86DC16FC"/>
    <w:lvl w:ilvl="0" w:tplc="C8F27CB0">
      <w:start w:val="1"/>
      <w:numFmt w:val="bullet"/>
      <w:lvlText w:val=""/>
      <w:lvlJc w:val="left"/>
      <w:pPr>
        <w:ind w:left="720" w:hanging="360"/>
      </w:pPr>
      <w:rPr>
        <w:rFonts w:ascii="Symbol" w:hAnsi="Symbol" w:hint="default"/>
      </w:rPr>
    </w:lvl>
    <w:lvl w:ilvl="1" w:tplc="E0AA6098" w:tentative="1">
      <w:start w:val="1"/>
      <w:numFmt w:val="bullet"/>
      <w:lvlText w:val="o"/>
      <w:lvlJc w:val="left"/>
      <w:pPr>
        <w:ind w:left="1440" w:hanging="360"/>
      </w:pPr>
      <w:rPr>
        <w:rFonts w:ascii="Courier New" w:hAnsi="Courier New" w:cs="Courier New" w:hint="default"/>
      </w:rPr>
    </w:lvl>
    <w:lvl w:ilvl="2" w:tplc="0AD4CF44" w:tentative="1">
      <w:start w:val="1"/>
      <w:numFmt w:val="bullet"/>
      <w:lvlText w:val=""/>
      <w:lvlJc w:val="left"/>
      <w:pPr>
        <w:ind w:left="2160" w:hanging="360"/>
      </w:pPr>
      <w:rPr>
        <w:rFonts w:ascii="Wingdings" w:hAnsi="Wingdings" w:hint="default"/>
      </w:rPr>
    </w:lvl>
    <w:lvl w:ilvl="3" w:tplc="11A2C6F8" w:tentative="1">
      <w:start w:val="1"/>
      <w:numFmt w:val="bullet"/>
      <w:lvlText w:val=""/>
      <w:lvlJc w:val="left"/>
      <w:pPr>
        <w:ind w:left="2880" w:hanging="360"/>
      </w:pPr>
      <w:rPr>
        <w:rFonts w:ascii="Symbol" w:hAnsi="Symbol" w:hint="default"/>
      </w:rPr>
    </w:lvl>
    <w:lvl w:ilvl="4" w:tplc="B9209586" w:tentative="1">
      <w:start w:val="1"/>
      <w:numFmt w:val="bullet"/>
      <w:lvlText w:val="o"/>
      <w:lvlJc w:val="left"/>
      <w:pPr>
        <w:ind w:left="3600" w:hanging="360"/>
      </w:pPr>
      <w:rPr>
        <w:rFonts w:ascii="Courier New" w:hAnsi="Courier New" w:cs="Courier New" w:hint="default"/>
      </w:rPr>
    </w:lvl>
    <w:lvl w:ilvl="5" w:tplc="CE286E2E" w:tentative="1">
      <w:start w:val="1"/>
      <w:numFmt w:val="bullet"/>
      <w:lvlText w:val=""/>
      <w:lvlJc w:val="left"/>
      <w:pPr>
        <w:ind w:left="4320" w:hanging="360"/>
      </w:pPr>
      <w:rPr>
        <w:rFonts w:ascii="Wingdings" w:hAnsi="Wingdings" w:hint="default"/>
      </w:rPr>
    </w:lvl>
    <w:lvl w:ilvl="6" w:tplc="551EFB2C" w:tentative="1">
      <w:start w:val="1"/>
      <w:numFmt w:val="bullet"/>
      <w:lvlText w:val=""/>
      <w:lvlJc w:val="left"/>
      <w:pPr>
        <w:ind w:left="5040" w:hanging="360"/>
      </w:pPr>
      <w:rPr>
        <w:rFonts w:ascii="Symbol" w:hAnsi="Symbol" w:hint="default"/>
      </w:rPr>
    </w:lvl>
    <w:lvl w:ilvl="7" w:tplc="936E7660" w:tentative="1">
      <w:start w:val="1"/>
      <w:numFmt w:val="bullet"/>
      <w:lvlText w:val="o"/>
      <w:lvlJc w:val="left"/>
      <w:pPr>
        <w:ind w:left="5760" w:hanging="360"/>
      </w:pPr>
      <w:rPr>
        <w:rFonts w:ascii="Courier New" w:hAnsi="Courier New" w:cs="Courier New" w:hint="default"/>
      </w:rPr>
    </w:lvl>
    <w:lvl w:ilvl="8" w:tplc="D3CE2DFA" w:tentative="1">
      <w:start w:val="1"/>
      <w:numFmt w:val="bullet"/>
      <w:lvlText w:val=""/>
      <w:lvlJc w:val="left"/>
      <w:pPr>
        <w:ind w:left="6480" w:hanging="360"/>
      </w:pPr>
      <w:rPr>
        <w:rFonts w:ascii="Wingdings" w:hAnsi="Wingdings" w:hint="default"/>
      </w:rPr>
    </w:lvl>
  </w:abstractNum>
  <w:abstractNum w:abstractNumId="18" w15:restartNumberingAfterBreak="0">
    <w:nsid w:val="441E6D63"/>
    <w:multiLevelType w:val="hybridMultilevel"/>
    <w:tmpl w:val="5C0CA2D0"/>
    <w:lvl w:ilvl="0" w:tplc="E0247A60">
      <w:start w:val="1"/>
      <w:numFmt w:val="bullet"/>
      <w:lvlText w:val=""/>
      <w:lvlJc w:val="left"/>
      <w:pPr>
        <w:ind w:left="720" w:hanging="360"/>
      </w:pPr>
      <w:rPr>
        <w:rFonts w:ascii="Symbol" w:hAnsi="Symbol" w:hint="default"/>
      </w:rPr>
    </w:lvl>
    <w:lvl w:ilvl="1" w:tplc="2E0A8C52" w:tentative="1">
      <w:start w:val="1"/>
      <w:numFmt w:val="bullet"/>
      <w:lvlText w:val="o"/>
      <w:lvlJc w:val="left"/>
      <w:pPr>
        <w:ind w:left="1440" w:hanging="360"/>
      </w:pPr>
      <w:rPr>
        <w:rFonts w:ascii="Courier New" w:hAnsi="Courier New" w:cs="Courier New" w:hint="default"/>
      </w:rPr>
    </w:lvl>
    <w:lvl w:ilvl="2" w:tplc="90848208" w:tentative="1">
      <w:start w:val="1"/>
      <w:numFmt w:val="bullet"/>
      <w:lvlText w:val=""/>
      <w:lvlJc w:val="left"/>
      <w:pPr>
        <w:ind w:left="2160" w:hanging="360"/>
      </w:pPr>
      <w:rPr>
        <w:rFonts w:ascii="Wingdings" w:hAnsi="Wingdings" w:hint="default"/>
      </w:rPr>
    </w:lvl>
    <w:lvl w:ilvl="3" w:tplc="D408E6D6" w:tentative="1">
      <w:start w:val="1"/>
      <w:numFmt w:val="bullet"/>
      <w:lvlText w:val=""/>
      <w:lvlJc w:val="left"/>
      <w:pPr>
        <w:ind w:left="2880" w:hanging="360"/>
      </w:pPr>
      <w:rPr>
        <w:rFonts w:ascii="Symbol" w:hAnsi="Symbol" w:hint="default"/>
      </w:rPr>
    </w:lvl>
    <w:lvl w:ilvl="4" w:tplc="490A7264" w:tentative="1">
      <w:start w:val="1"/>
      <w:numFmt w:val="bullet"/>
      <w:lvlText w:val="o"/>
      <w:lvlJc w:val="left"/>
      <w:pPr>
        <w:ind w:left="3600" w:hanging="360"/>
      </w:pPr>
      <w:rPr>
        <w:rFonts w:ascii="Courier New" w:hAnsi="Courier New" w:cs="Courier New" w:hint="default"/>
      </w:rPr>
    </w:lvl>
    <w:lvl w:ilvl="5" w:tplc="C76622CE" w:tentative="1">
      <w:start w:val="1"/>
      <w:numFmt w:val="bullet"/>
      <w:lvlText w:val=""/>
      <w:lvlJc w:val="left"/>
      <w:pPr>
        <w:ind w:left="4320" w:hanging="360"/>
      </w:pPr>
      <w:rPr>
        <w:rFonts w:ascii="Wingdings" w:hAnsi="Wingdings" w:hint="default"/>
      </w:rPr>
    </w:lvl>
    <w:lvl w:ilvl="6" w:tplc="A9F6AB92" w:tentative="1">
      <w:start w:val="1"/>
      <w:numFmt w:val="bullet"/>
      <w:lvlText w:val=""/>
      <w:lvlJc w:val="left"/>
      <w:pPr>
        <w:ind w:left="5040" w:hanging="360"/>
      </w:pPr>
      <w:rPr>
        <w:rFonts w:ascii="Symbol" w:hAnsi="Symbol" w:hint="default"/>
      </w:rPr>
    </w:lvl>
    <w:lvl w:ilvl="7" w:tplc="A4E2128C" w:tentative="1">
      <w:start w:val="1"/>
      <w:numFmt w:val="bullet"/>
      <w:lvlText w:val="o"/>
      <w:lvlJc w:val="left"/>
      <w:pPr>
        <w:ind w:left="5760" w:hanging="360"/>
      </w:pPr>
      <w:rPr>
        <w:rFonts w:ascii="Courier New" w:hAnsi="Courier New" w:cs="Courier New" w:hint="default"/>
      </w:rPr>
    </w:lvl>
    <w:lvl w:ilvl="8" w:tplc="FD149B32" w:tentative="1">
      <w:start w:val="1"/>
      <w:numFmt w:val="bullet"/>
      <w:lvlText w:val=""/>
      <w:lvlJc w:val="left"/>
      <w:pPr>
        <w:ind w:left="6480" w:hanging="360"/>
      </w:pPr>
      <w:rPr>
        <w:rFonts w:ascii="Wingdings" w:hAnsi="Wingdings" w:hint="default"/>
      </w:rPr>
    </w:lvl>
  </w:abstractNum>
  <w:abstractNum w:abstractNumId="19" w15:restartNumberingAfterBreak="0">
    <w:nsid w:val="464D4CCC"/>
    <w:multiLevelType w:val="hybridMultilevel"/>
    <w:tmpl w:val="4BF0A8F2"/>
    <w:lvl w:ilvl="0" w:tplc="86723BF0">
      <w:start w:val="1"/>
      <w:numFmt w:val="bullet"/>
      <w:lvlText w:val=""/>
      <w:lvlJc w:val="left"/>
      <w:pPr>
        <w:ind w:left="720" w:hanging="360"/>
      </w:pPr>
      <w:rPr>
        <w:rFonts w:ascii="Symbol" w:hAnsi="Symbol" w:hint="default"/>
      </w:rPr>
    </w:lvl>
    <w:lvl w:ilvl="1" w:tplc="DB8E51EA">
      <w:start w:val="1"/>
      <w:numFmt w:val="bullet"/>
      <w:lvlText w:val="o"/>
      <w:lvlJc w:val="left"/>
      <w:pPr>
        <w:ind w:left="1440" w:hanging="360"/>
      </w:pPr>
      <w:rPr>
        <w:rFonts w:ascii="Courier New" w:hAnsi="Courier New" w:cs="Courier New" w:hint="default"/>
      </w:rPr>
    </w:lvl>
    <w:lvl w:ilvl="2" w:tplc="0FD23E90" w:tentative="1">
      <w:start w:val="1"/>
      <w:numFmt w:val="bullet"/>
      <w:lvlText w:val=""/>
      <w:lvlJc w:val="left"/>
      <w:pPr>
        <w:ind w:left="2160" w:hanging="360"/>
      </w:pPr>
      <w:rPr>
        <w:rFonts w:ascii="Wingdings" w:hAnsi="Wingdings" w:hint="default"/>
      </w:rPr>
    </w:lvl>
    <w:lvl w:ilvl="3" w:tplc="7696B5EA" w:tentative="1">
      <w:start w:val="1"/>
      <w:numFmt w:val="bullet"/>
      <w:lvlText w:val=""/>
      <w:lvlJc w:val="left"/>
      <w:pPr>
        <w:ind w:left="2880" w:hanging="360"/>
      </w:pPr>
      <w:rPr>
        <w:rFonts w:ascii="Symbol" w:hAnsi="Symbol" w:hint="default"/>
      </w:rPr>
    </w:lvl>
    <w:lvl w:ilvl="4" w:tplc="692AE91A" w:tentative="1">
      <w:start w:val="1"/>
      <w:numFmt w:val="bullet"/>
      <w:lvlText w:val="o"/>
      <w:lvlJc w:val="left"/>
      <w:pPr>
        <w:ind w:left="3600" w:hanging="360"/>
      </w:pPr>
      <w:rPr>
        <w:rFonts w:ascii="Courier New" w:hAnsi="Courier New" w:cs="Courier New" w:hint="default"/>
      </w:rPr>
    </w:lvl>
    <w:lvl w:ilvl="5" w:tplc="391C5E4E" w:tentative="1">
      <w:start w:val="1"/>
      <w:numFmt w:val="bullet"/>
      <w:lvlText w:val=""/>
      <w:lvlJc w:val="left"/>
      <w:pPr>
        <w:ind w:left="4320" w:hanging="360"/>
      </w:pPr>
      <w:rPr>
        <w:rFonts w:ascii="Wingdings" w:hAnsi="Wingdings" w:hint="default"/>
      </w:rPr>
    </w:lvl>
    <w:lvl w:ilvl="6" w:tplc="4CEA1AE8" w:tentative="1">
      <w:start w:val="1"/>
      <w:numFmt w:val="bullet"/>
      <w:lvlText w:val=""/>
      <w:lvlJc w:val="left"/>
      <w:pPr>
        <w:ind w:left="5040" w:hanging="360"/>
      </w:pPr>
      <w:rPr>
        <w:rFonts w:ascii="Symbol" w:hAnsi="Symbol" w:hint="default"/>
      </w:rPr>
    </w:lvl>
    <w:lvl w:ilvl="7" w:tplc="C040E6EC" w:tentative="1">
      <w:start w:val="1"/>
      <w:numFmt w:val="bullet"/>
      <w:lvlText w:val="o"/>
      <w:lvlJc w:val="left"/>
      <w:pPr>
        <w:ind w:left="5760" w:hanging="360"/>
      </w:pPr>
      <w:rPr>
        <w:rFonts w:ascii="Courier New" w:hAnsi="Courier New" w:cs="Courier New" w:hint="default"/>
      </w:rPr>
    </w:lvl>
    <w:lvl w:ilvl="8" w:tplc="7B10B01E" w:tentative="1">
      <w:start w:val="1"/>
      <w:numFmt w:val="bullet"/>
      <w:lvlText w:val=""/>
      <w:lvlJc w:val="left"/>
      <w:pPr>
        <w:ind w:left="6480" w:hanging="360"/>
      </w:pPr>
      <w:rPr>
        <w:rFonts w:ascii="Wingdings" w:hAnsi="Wingdings" w:hint="default"/>
      </w:rPr>
    </w:lvl>
  </w:abstractNum>
  <w:abstractNum w:abstractNumId="20" w15:restartNumberingAfterBreak="0">
    <w:nsid w:val="47095746"/>
    <w:multiLevelType w:val="hybridMultilevel"/>
    <w:tmpl w:val="0944F4E2"/>
    <w:lvl w:ilvl="0" w:tplc="58C8741C">
      <w:start w:val="1"/>
      <w:numFmt w:val="bullet"/>
      <w:lvlText w:val=""/>
      <w:lvlJc w:val="left"/>
      <w:pPr>
        <w:ind w:left="720" w:hanging="360"/>
      </w:pPr>
      <w:rPr>
        <w:rFonts w:ascii="Symbol" w:hAnsi="Symbol" w:cs="Symbol" w:hint="default"/>
        <w:color w:val="auto"/>
      </w:rPr>
    </w:lvl>
    <w:lvl w:ilvl="1" w:tplc="D8FE0F7E">
      <w:start w:val="1"/>
      <w:numFmt w:val="bullet"/>
      <w:lvlText w:val="o"/>
      <w:lvlJc w:val="left"/>
      <w:pPr>
        <w:ind w:left="1440" w:hanging="360"/>
      </w:pPr>
      <w:rPr>
        <w:rFonts w:ascii="Courier New" w:hAnsi="Courier New" w:cs="Courier New" w:hint="default"/>
      </w:rPr>
    </w:lvl>
    <w:lvl w:ilvl="2" w:tplc="A8B8187A" w:tentative="1">
      <w:start w:val="1"/>
      <w:numFmt w:val="bullet"/>
      <w:lvlText w:val=""/>
      <w:lvlJc w:val="left"/>
      <w:pPr>
        <w:ind w:left="2160" w:hanging="360"/>
      </w:pPr>
      <w:rPr>
        <w:rFonts w:ascii="Wingdings" w:hAnsi="Wingdings" w:cs="Wingdings" w:hint="default"/>
      </w:rPr>
    </w:lvl>
    <w:lvl w:ilvl="3" w:tplc="45E27F7C" w:tentative="1">
      <w:start w:val="1"/>
      <w:numFmt w:val="bullet"/>
      <w:lvlText w:val=""/>
      <w:lvlJc w:val="left"/>
      <w:pPr>
        <w:ind w:left="2880" w:hanging="360"/>
      </w:pPr>
      <w:rPr>
        <w:rFonts w:ascii="Symbol" w:hAnsi="Symbol" w:cs="Symbol" w:hint="default"/>
      </w:rPr>
    </w:lvl>
    <w:lvl w:ilvl="4" w:tplc="418C1B6E" w:tentative="1">
      <w:start w:val="1"/>
      <w:numFmt w:val="bullet"/>
      <w:lvlText w:val="o"/>
      <w:lvlJc w:val="left"/>
      <w:pPr>
        <w:ind w:left="3600" w:hanging="360"/>
      </w:pPr>
      <w:rPr>
        <w:rFonts w:ascii="Courier New" w:hAnsi="Courier New" w:cs="Courier New" w:hint="default"/>
      </w:rPr>
    </w:lvl>
    <w:lvl w:ilvl="5" w:tplc="C3D0737A" w:tentative="1">
      <w:start w:val="1"/>
      <w:numFmt w:val="bullet"/>
      <w:lvlText w:val=""/>
      <w:lvlJc w:val="left"/>
      <w:pPr>
        <w:ind w:left="4320" w:hanging="360"/>
      </w:pPr>
      <w:rPr>
        <w:rFonts w:ascii="Wingdings" w:hAnsi="Wingdings" w:cs="Wingdings" w:hint="default"/>
      </w:rPr>
    </w:lvl>
    <w:lvl w:ilvl="6" w:tplc="9C8E6212" w:tentative="1">
      <w:start w:val="1"/>
      <w:numFmt w:val="bullet"/>
      <w:lvlText w:val=""/>
      <w:lvlJc w:val="left"/>
      <w:pPr>
        <w:ind w:left="5040" w:hanging="360"/>
      </w:pPr>
      <w:rPr>
        <w:rFonts w:ascii="Symbol" w:hAnsi="Symbol" w:cs="Symbol" w:hint="default"/>
      </w:rPr>
    </w:lvl>
    <w:lvl w:ilvl="7" w:tplc="C172A72C" w:tentative="1">
      <w:start w:val="1"/>
      <w:numFmt w:val="bullet"/>
      <w:lvlText w:val="o"/>
      <w:lvlJc w:val="left"/>
      <w:pPr>
        <w:ind w:left="5760" w:hanging="360"/>
      </w:pPr>
      <w:rPr>
        <w:rFonts w:ascii="Courier New" w:hAnsi="Courier New" w:cs="Courier New" w:hint="default"/>
      </w:rPr>
    </w:lvl>
    <w:lvl w:ilvl="8" w:tplc="D3608AB8" w:tentative="1">
      <w:start w:val="1"/>
      <w:numFmt w:val="bullet"/>
      <w:lvlText w:val=""/>
      <w:lvlJc w:val="left"/>
      <w:pPr>
        <w:ind w:left="6480" w:hanging="360"/>
      </w:pPr>
      <w:rPr>
        <w:rFonts w:ascii="Wingdings" w:hAnsi="Wingdings" w:cs="Wingdings" w:hint="default"/>
      </w:rPr>
    </w:lvl>
  </w:abstractNum>
  <w:abstractNum w:abstractNumId="21" w15:restartNumberingAfterBreak="0">
    <w:nsid w:val="4BCA56A9"/>
    <w:multiLevelType w:val="hybridMultilevel"/>
    <w:tmpl w:val="BA304A44"/>
    <w:lvl w:ilvl="0" w:tplc="B882CE2C">
      <w:start w:val="1"/>
      <w:numFmt w:val="decimal"/>
      <w:lvlText w:val="%1."/>
      <w:lvlJc w:val="left"/>
      <w:pPr>
        <w:ind w:left="720" w:hanging="360"/>
      </w:pPr>
    </w:lvl>
    <w:lvl w:ilvl="1" w:tplc="0018177E" w:tentative="1">
      <w:start w:val="1"/>
      <w:numFmt w:val="lowerLetter"/>
      <w:lvlText w:val="%2."/>
      <w:lvlJc w:val="left"/>
      <w:pPr>
        <w:ind w:left="1440" w:hanging="360"/>
      </w:pPr>
    </w:lvl>
    <w:lvl w:ilvl="2" w:tplc="BA4EE590" w:tentative="1">
      <w:start w:val="1"/>
      <w:numFmt w:val="lowerRoman"/>
      <w:lvlText w:val="%3."/>
      <w:lvlJc w:val="right"/>
      <w:pPr>
        <w:ind w:left="2160" w:hanging="180"/>
      </w:pPr>
    </w:lvl>
    <w:lvl w:ilvl="3" w:tplc="5668667A" w:tentative="1">
      <w:start w:val="1"/>
      <w:numFmt w:val="decimal"/>
      <w:lvlText w:val="%4."/>
      <w:lvlJc w:val="left"/>
      <w:pPr>
        <w:ind w:left="2880" w:hanging="360"/>
      </w:pPr>
    </w:lvl>
    <w:lvl w:ilvl="4" w:tplc="C4FEBB1A" w:tentative="1">
      <w:start w:val="1"/>
      <w:numFmt w:val="lowerLetter"/>
      <w:lvlText w:val="%5."/>
      <w:lvlJc w:val="left"/>
      <w:pPr>
        <w:ind w:left="3600" w:hanging="360"/>
      </w:pPr>
    </w:lvl>
    <w:lvl w:ilvl="5" w:tplc="4BBAA354" w:tentative="1">
      <w:start w:val="1"/>
      <w:numFmt w:val="lowerRoman"/>
      <w:lvlText w:val="%6."/>
      <w:lvlJc w:val="right"/>
      <w:pPr>
        <w:ind w:left="4320" w:hanging="180"/>
      </w:pPr>
    </w:lvl>
    <w:lvl w:ilvl="6" w:tplc="62B4FB94" w:tentative="1">
      <w:start w:val="1"/>
      <w:numFmt w:val="decimal"/>
      <w:lvlText w:val="%7."/>
      <w:lvlJc w:val="left"/>
      <w:pPr>
        <w:ind w:left="5040" w:hanging="360"/>
      </w:pPr>
    </w:lvl>
    <w:lvl w:ilvl="7" w:tplc="07A24B78" w:tentative="1">
      <w:start w:val="1"/>
      <w:numFmt w:val="lowerLetter"/>
      <w:lvlText w:val="%8."/>
      <w:lvlJc w:val="left"/>
      <w:pPr>
        <w:ind w:left="5760" w:hanging="360"/>
      </w:pPr>
    </w:lvl>
    <w:lvl w:ilvl="8" w:tplc="D00CFF1C" w:tentative="1">
      <w:start w:val="1"/>
      <w:numFmt w:val="lowerRoman"/>
      <w:lvlText w:val="%9."/>
      <w:lvlJc w:val="right"/>
      <w:pPr>
        <w:ind w:left="6480" w:hanging="180"/>
      </w:pPr>
    </w:lvl>
  </w:abstractNum>
  <w:abstractNum w:abstractNumId="22" w15:restartNumberingAfterBreak="0">
    <w:nsid w:val="503B1BDE"/>
    <w:multiLevelType w:val="hybridMultilevel"/>
    <w:tmpl w:val="865E3784"/>
    <w:lvl w:ilvl="0" w:tplc="EF264876">
      <w:start w:val="1"/>
      <w:numFmt w:val="bullet"/>
      <w:lvlText w:val=""/>
      <w:lvlJc w:val="left"/>
      <w:pPr>
        <w:ind w:left="720" w:hanging="360"/>
      </w:pPr>
      <w:rPr>
        <w:rFonts w:ascii="Symbol" w:hAnsi="Symbol" w:hint="default"/>
      </w:rPr>
    </w:lvl>
    <w:lvl w:ilvl="1" w:tplc="48E61EFC" w:tentative="1">
      <w:start w:val="1"/>
      <w:numFmt w:val="bullet"/>
      <w:lvlText w:val="o"/>
      <w:lvlJc w:val="left"/>
      <w:pPr>
        <w:ind w:left="1440" w:hanging="360"/>
      </w:pPr>
      <w:rPr>
        <w:rFonts w:ascii="Courier New" w:hAnsi="Courier New" w:cs="Courier New" w:hint="default"/>
      </w:rPr>
    </w:lvl>
    <w:lvl w:ilvl="2" w:tplc="FABCC8F2" w:tentative="1">
      <w:start w:val="1"/>
      <w:numFmt w:val="bullet"/>
      <w:lvlText w:val=""/>
      <w:lvlJc w:val="left"/>
      <w:pPr>
        <w:ind w:left="2160" w:hanging="360"/>
      </w:pPr>
      <w:rPr>
        <w:rFonts w:ascii="Wingdings" w:hAnsi="Wingdings" w:hint="default"/>
      </w:rPr>
    </w:lvl>
    <w:lvl w:ilvl="3" w:tplc="94BC663E" w:tentative="1">
      <w:start w:val="1"/>
      <w:numFmt w:val="bullet"/>
      <w:lvlText w:val=""/>
      <w:lvlJc w:val="left"/>
      <w:pPr>
        <w:ind w:left="2880" w:hanging="360"/>
      </w:pPr>
      <w:rPr>
        <w:rFonts w:ascii="Symbol" w:hAnsi="Symbol" w:hint="default"/>
      </w:rPr>
    </w:lvl>
    <w:lvl w:ilvl="4" w:tplc="C15C7D66" w:tentative="1">
      <w:start w:val="1"/>
      <w:numFmt w:val="bullet"/>
      <w:lvlText w:val="o"/>
      <w:lvlJc w:val="left"/>
      <w:pPr>
        <w:ind w:left="3600" w:hanging="360"/>
      </w:pPr>
      <w:rPr>
        <w:rFonts w:ascii="Courier New" w:hAnsi="Courier New" w:cs="Courier New" w:hint="default"/>
      </w:rPr>
    </w:lvl>
    <w:lvl w:ilvl="5" w:tplc="13E22E02" w:tentative="1">
      <w:start w:val="1"/>
      <w:numFmt w:val="bullet"/>
      <w:lvlText w:val=""/>
      <w:lvlJc w:val="left"/>
      <w:pPr>
        <w:ind w:left="4320" w:hanging="360"/>
      </w:pPr>
      <w:rPr>
        <w:rFonts w:ascii="Wingdings" w:hAnsi="Wingdings" w:hint="default"/>
      </w:rPr>
    </w:lvl>
    <w:lvl w:ilvl="6" w:tplc="64E04976" w:tentative="1">
      <w:start w:val="1"/>
      <w:numFmt w:val="bullet"/>
      <w:lvlText w:val=""/>
      <w:lvlJc w:val="left"/>
      <w:pPr>
        <w:ind w:left="5040" w:hanging="360"/>
      </w:pPr>
      <w:rPr>
        <w:rFonts w:ascii="Symbol" w:hAnsi="Symbol" w:hint="default"/>
      </w:rPr>
    </w:lvl>
    <w:lvl w:ilvl="7" w:tplc="9D1E1498" w:tentative="1">
      <w:start w:val="1"/>
      <w:numFmt w:val="bullet"/>
      <w:lvlText w:val="o"/>
      <w:lvlJc w:val="left"/>
      <w:pPr>
        <w:ind w:left="5760" w:hanging="360"/>
      </w:pPr>
      <w:rPr>
        <w:rFonts w:ascii="Courier New" w:hAnsi="Courier New" w:cs="Courier New" w:hint="default"/>
      </w:rPr>
    </w:lvl>
    <w:lvl w:ilvl="8" w:tplc="6D503120" w:tentative="1">
      <w:start w:val="1"/>
      <w:numFmt w:val="bullet"/>
      <w:lvlText w:val=""/>
      <w:lvlJc w:val="left"/>
      <w:pPr>
        <w:ind w:left="6480" w:hanging="360"/>
      </w:pPr>
      <w:rPr>
        <w:rFonts w:ascii="Wingdings" w:hAnsi="Wingdings" w:hint="default"/>
      </w:rPr>
    </w:lvl>
  </w:abstractNum>
  <w:abstractNum w:abstractNumId="23" w15:restartNumberingAfterBreak="0">
    <w:nsid w:val="54F45585"/>
    <w:multiLevelType w:val="hybridMultilevel"/>
    <w:tmpl w:val="1E806A6C"/>
    <w:lvl w:ilvl="0" w:tplc="5066EF24">
      <w:start w:val="1"/>
      <w:numFmt w:val="bullet"/>
      <w:lvlText w:val=""/>
      <w:lvlJc w:val="left"/>
      <w:pPr>
        <w:ind w:left="720" w:hanging="360"/>
      </w:pPr>
      <w:rPr>
        <w:rFonts w:ascii="Symbol" w:hAnsi="Symbol" w:hint="default"/>
      </w:rPr>
    </w:lvl>
    <w:lvl w:ilvl="1" w:tplc="E8AA8056" w:tentative="1">
      <w:start w:val="1"/>
      <w:numFmt w:val="bullet"/>
      <w:lvlText w:val="o"/>
      <w:lvlJc w:val="left"/>
      <w:pPr>
        <w:ind w:left="1440" w:hanging="360"/>
      </w:pPr>
      <w:rPr>
        <w:rFonts w:ascii="Courier New" w:hAnsi="Courier New" w:cs="Courier New" w:hint="default"/>
      </w:rPr>
    </w:lvl>
    <w:lvl w:ilvl="2" w:tplc="C0C020B0" w:tentative="1">
      <w:start w:val="1"/>
      <w:numFmt w:val="bullet"/>
      <w:lvlText w:val=""/>
      <w:lvlJc w:val="left"/>
      <w:pPr>
        <w:ind w:left="2160" w:hanging="360"/>
      </w:pPr>
      <w:rPr>
        <w:rFonts w:ascii="Wingdings" w:hAnsi="Wingdings" w:hint="default"/>
      </w:rPr>
    </w:lvl>
    <w:lvl w:ilvl="3" w:tplc="7CEE23EA" w:tentative="1">
      <w:start w:val="1"/>
      <w:numFmt w:val="bullet"/>
      <w:lvlText w:val=""/>
      <w:lvlJc w:val="left"/>
      <w:pPr>
        <w:ind w:left="2880" w:hanging="360"/>
      </w:pPr>
      <w:rPr>
        <w:rFonts w:ascii="Symbol" w:hAnsi="Symbol" w:hint="default"/>
      </w:rPr>
    </w:lvl>
    <w:lvl w:ilvl="4" w:tplc="45EC008E" w:tentative="1">
      <w:start w:val="1"/>
      <w:numFmt w:val="bullet"/>
      <w:lvlText w:val="o"/>
      <w:lvlJc w:val="left"/>
      <w:pPr>
        <w:ind w:left="3600" w:hanging="360"/>
      </w:pPr>
      <w:rPr>
        <w:rFonts w:ascii="Courier New" w:hAnsi="Courier New" w:cs="Courier New" w:hint="default"/>
      </w:rPr>
    </w:lvl>
    <w:lvl w:ilvl="5" w:tplc="8D14A492" w:tentative="1">
      <w:start w:val="1"/>
      <w:numFmt w:val="bullet"/>
      <w:lvlText w:val=""/>
      <w:lvlJc w:val="left"/>
      <w:pPr>
        <w:ind w:left="4320" w:hanging="360"/>
      </w:pPr>
      <w:rPr>
        <w:rFonts w:ascii="Wingdings" w:hAnsi="Wingdings" w:hint="default"/>
      </w:rPr>
    </w:lvl>
    <w:lvl w:ilvl="6" w:tplc="F2B0F17E" w:tentative="1">
      <w:start w:val="1"/>
      <w:numFmt w:val="bullet"/>
      <w:lvlText w:val=""/>
      <w:lvlJc w:val="left"/>
      <w:pPr>
        <w:ind w:left="5040" w:hanging="360"/>
      </w:pPr>
      <w:rPr>
        <w:rFonts w:ascii="Symbol" w:hAnsi="Symbol" w:hint="default"/>
      </w:rPr>
    </w:lvl>
    <w:lvl w:ilvl="7" w:tplc="364A1632" w:tentative="1">
      <w:start w:val="1"/>
      <w:numFmt w:val="bullet"/>
      <w:lvlText w:val="o"/>
      <w:lvlJc w:val="left"/>
      <w:pPr>
        <w:ind w:left="5760" w:hanging="360"/>
      </w:pPr>
      <w:rPr>
        <w:rFonts w:ascii="Courier New" w:hAnsi="Courier New" w:cs="Courier New" w:hint="default"/>
      </w:rPr>
    </w:lvl>
    <w:lvl w:ilvl="8" w:tplc="E736A750" w:tentative="1">
      <w:start w:val="1"/>
      <w:numFmt w:val="bullet"/>
      <w:lvlText w:val=""/>
      <w:lvlJc w:val="left"/>
      <w:pPr>
        <w:ind w:left="6480" w:hanging="360"/>
      </w:pPr>
      <w:rPr>
        <w:rFonts w:ascii="Wingdings" w:hAnsi="Wingdings" w:hint="default"/>
      </w:rPr>
    </w:lvl>
  </w:abstractNum>
  <w:abstractNum w:abstractNumId="24" w15:restartNumberingAfterBreak="0">
    <w:nsid w:val="54FF0110"/>
    <w:multiLevelType w:val="hybridMultilevel"/>
    <w:tmpl w:val="DBA873F8"/>
    <w:lvl w:ilvl="0" w:tplc="C23AD188">
      <w:start w:val="1"/>
      <w:numFmt w:val="bullet"/>
      <w:pStyle w:val="Instructionaltext-bullet"/>
      <w:lvlText w:val=""/>
      <w:lvlJc w:val="left"/>
      <w:pPr>
        <w:ind w:left="1077" w:hanging="360"/>
      </w:pPr>
      <w:rPr>
        <w:rFonts w:ascii="Symbol" w:hAnsi="Symbol" w:hint="default"/>
      </w:rPr>
    </w:lvl>
    <w:lvl w:ilvl="1" w:tplc="03C271A8" w:tentative="1">
      <w:start w:val="1"/>
      <w:numFmt w:val="bullet"/>
      <w:lvlText w:val="o"/>
      <w:lvlJc w:val="left"/>
      <w:pPr>
        <w:ind w:left="1797" w:hanging="360"/>
      </w:pPr>
      <w:rPr>
        <w:rFonts w:ascii="Courier New" w:hAnsi="Courier New" w:cs="Courier New" w:hint="default"/>
      </w:rPr>
    </w:lvl>
    <w:lvl w:ilvl="2" w:tplc="9BD00AF6" w:tentative="1">
      <w:start w:val="1"/>
      <w:numFmt w:val="bullet"/>
      <w:lvlText w:val=""/>
      <w:lvlJc w:val="left"/>
      <w:pPr>
        <w:ind w:left="2517" w:hanging="360"/>
      </w:pPr>
      <w:rPr>
        <w:rFonts w:ascii="Wingdings" w:hAnsi="Wingdings" w:cs="Wingdings" w:hint="default"/>
      </w:rPr>
    </w:lvl>
    <w:lvl w:ilvl="3" w:tplc="EF82DAE2" w:tentative="1">
      <w:start w:val="1"/>
      <w:numFmt w:val="bullet"/>
      <w:lvlText w:val=""/>
      <w:lvlJc w:val="left"/>
      <w:pPr>
        <w:ind w:left="3237" w:hanging="360"/>
      </w:pPr>
      <w:rPr>
        <w:rFonts w:ascii="Symbol" w:hAnsi="Symbol" w:cs="Symbol" w:hint="default"/>
      </w:rPr>
    </w:lvl>
    <w:lvl w:ilvl="4" w:tplc="A5D4285A" w:tentative="1">
      <w:start w:val="1"/>
      <w:numFmt w:val="bullet"/>
      <w:lvlText w:val="o"/>
      <w:lvlJc w:val="left"/>
      <w:pPr>
        <w:ind w:left="3957" w:hanging="360"/>
      </w:pPr>
      <w:rPr>
        <w:rFonts w:ascii="Courier New" w:hAnsi="Courier New" w:cs="Courier New" w:hint="default"/>
      </w:rPr>
    </w:lvl>
    <w:lvl w:ilvl="5" w:tplc="66F09708" w:tentative="1">
      <w:start w:val="1"/>
      <w:numFmt w:val="bullet"/>
      <w:lvlText w:val=""/>
      <w:lvlJc w:val="left"/>
      <w:pPr>
        <w:ind w:left="4677" w:hanging="360"/>
      </w:pPr>
      <w:rPr>
        <w:rFonts w:ascii="Wingdings" w:hAnsi="Wingdings" w:cs="Wingdings" w:hint="default"/>
      </w:rPr>
    </w:lvl>
    <w:lvl w:ilvl="6" w:tplc="A7C6C6FC" w:tentative="1">
      <w:start w:val="1"/>
      <w:numFmt w:val="bullet"/>
      <w:lvlText w:val=""/>
      <w:lvlJc w:val="left"/>
      <w:pPr>
        <w:ind w:left="5397" w:hanging="360"/>
      </w:pPr>
      <w:rPr>
        <w:rFonts w:ascii="Symbol" w:hAnsi="Symbol" w:cs="Symbol" w:hint="default"/>
      </w:rPr>
    </w:lvl>
    <w:lvl w:ilvl="7" w:tplc="6BE6C2B4" w:tentative="1">
      <w:start w:val="1"/>
      <w:numFmt w:val="bullet"/>
      <w:lvlText w:val="o"/>
      <w:lvlJc w:val="left"/>
      <w:pPr>
        <w:ind w:left="6117" w:hanging="360"/>
      </w:pPr>
      <w:rPr>
        <w:rFonts w:ascii="Courier New" w:hAnsi="Courier New" w:cs="Courier New" w:hint="default"/>
      </w:rPr>
    </w:lvl>
    <w:lvl w:ilvl="8" w:tplc="EC7ACDBC" w:tentative="1">
      <w:start w:val="1"/>
      <w:numFmt w:val="bullet"/>
      <w:lvlText w:val=""/>
      <w:lvlJc w:val="left"/>
      <w:pPr>
        <w:ind w:left="6837" w:hanging="360"/>
      </w:pPr>
      <w:rPr>
        <w:rFonts w:ascii="Wingdings" w:hAnsi="Wingdings" w:cs="Wingdings" w:hint="default"/>
      </w:rPr>
    </w:lvl>
  </w:abstractNum>
  <w:abstractNum w:abstractNumId="25" w15:restartNumberingAfterBreak="0">
    <w:nsid w:val="572A29C5"/>
    <w:multiLevelType w:val="hybridMultilevel"/>
    <w:tmpl w:val="7902BAEE"/>
    <w:lvl w:ilvl="0" w:tplc="D4A2E38E">
      <w:start w:val="1"/>
      <w:numFmt w:val="bullet"/>
      <w:lvlText w:val=""/>
      <w:lvlJc w:val="left"/>
      <w:pPr>
        <w:ind w:left="720" w:hanging="360"/>
      </w:pPr>
      <w:rPr>
        <w:rFonts w:ascii="Symbol" w:hAnsi="Symbol" w:hint="default"/>
      </w:rPr>
    </w:lvl>
    <w:lvl w:ilvl="1" w:tplc="5E16F158">
      <w:start w:val="1"/>
      <w:numFmt w:val="bullet"/>
      <w:lvlText w:val="o"/>
      <w:lvlJc w:val="left"/>
      <w:pPr>
        <w:ind w:left="1440" w:hanging="360"/>
      </w:pPr>
      <w:rPr>
        <w:rFonts w:ascii="Courier New" w:hAnsi="Courier New" w:cs="Courier New" w:hint="default"/>
      </w:rPr>
    </w:lvl>
    <w:lvl w:ilvl="2" w:tplc="748C8FE2" w:tentative="1">
      <w:start w:val="1"/>
      <w:numFmt w:val="bullet"/>
      <w:lvlText w:val=""/>
      <w:lvlJc w:val="left"/>
      <w:pPr>
        <w:ind w:left="2160" w:hanging="360"/>
      </w:pPr>
      <w:rPr>
        <w:rFonts w:ascii="Wingdings" w:hAnsi="Wingdings" w:hint="default"/>
      </w:rPr>
    </w:lvl>
    <w:lvl w:ilvl="3" w:tplc="5358D56E" w:tentative="1">
      <w:start w:val="1"/>
      <w:numFmt w:val="bullet"/>
      <w:lvlText w:val=""/>
      <w:lvlJc w:val="left"/>
      <w:pPr>
        <w:ind w:left="2880" w:hanging="360"/>
      </w:pPr>
      <w:rPr>
        <w:rFonts w:ascii="Symbol" w:hAnsi="Symbol" w:hint="default"/>
      </w:rPr>
    </w:lvl>
    <w:lvl w:ilvl="4" w:tplc="8AB6EB22" w:tentative="1">
      <w:start w:val="1"/>
      <w:numFmt w:val="bullet"/>
      <w:lvlText w:val="o"/>
      <w:lvlJc w:val="left"/>
      <w:pPr>
        <w:ind w:left="3600" w:hanging="360"/>
      </w:pPr>
      <w:rPr>
        <w:rFonts w:ascii="Courier New" w:hAnsi="Courier New" w:cs="Courier New" w:hint="default"/>
      </w:rPr>
    </w:lvl>
    <w:lvl w:ilvl="5" w:tplc="04DCB31A" w:tentative="1">
      <w:start w:val="1"/>
      <w:numFmt w:val="bullet"/>
      <w:lvlText w:val=""/>
      <w:lvlJc w:val="left"/>
      <w:pPr>
        <w:ind w:left="4320" w:hanging="360"/>
      </w:pPr>
      <w:rPr>
        <w:rFonts w:ascii="Wingdings" w:hAnsi="Wingdings" w:hint="default"/>
      </w:rPr>
    </w:lvl>
    <w:lvl w:ilvl="6" w:tplc="8F60BCFC" w:tentative="1">
      <w:start w:val="1"/>
      <w:numFmt w:val="bullet"/>
      <w:lvlText w:val=""/>
      <w:lvlJc w:val="left"/>
      <w:pPr>
        <w:ind w:left="5040" w:hanging="360"/>
      </w:pPr>
      <w:rPr>
        <w:rFonts w:ascii="Symbol" w:hAnsi="Symbol" w:hint="default"/>
      </w:rPr>
    </w:lvl>
    <w:lvl w:ilvl="7" w:tplc="C130FAAE" w:tentative="1">
      <w:start w:val="1"/>
      <w:numFmt w:val="bullet"/>
      <w:lvlText w:val="o"/>
      <w:lvlJc w:val="left"/>
      <w:pPr>
        <w:ind w:left="5760" w:hanging="360"/>
      </w:pPr>
      <w:rPr>
        <w:rFonts w:ascii="Courier New" w:hAnsi="Courier New" w:cs="Courier New" w:hint="default"/>
      </w:rPr>
    </w:lvl>
    <w:lvl w:ilvl="8" w:tplc="A4BADB2E" w:tentative="1">
      <w:start w:val="1"/>
      <w:numFmt w:val="bullet"/>
      <w:lvlText w:val=""/>
      <w:lvlJc w:val="left"/>
      <w:pPr>
        <w:ind w:left="6480" w:hanging="360"/>
      </w:pPr>
      <w:rPr>
        <w:rFonts w:ascii="Wingdings" w:hAnsi="Wingdings" w:hint="default"/>
      </w:rPr>
    </w:lvl>
  </w:abstractNum>
  <w:abstractNum w:abstractNumId="26" w15:restartNumberingAfterBreak="0">
    <w:nsid w:val="580D2CE2"/>
    <w:multiLevelType w:val="hybridMultilevel"/>
    <w:tmpl w:val="313E7236"/>
    <w:lvl w:ilvl="0" w:tplc="BD4EF644">
      <w:start w:val="1"/>
      <w:numFmt w:val="bullet"/>
      <w:lvlText w:val=""/>
      <w:lvlJc w:val="left"/>
      <w:pPr>
        <w:ind w:left="720" w:hanging="360"/>
      </w:pPr>
      <w:rPr>
        <w:rFonts w:ascii="Symbol" w:hAnsi="Symbol" w:hint="default"/>
      </w:rPr>
    </w:lvl>
    <w:lvl w:ilvl="1" w:tplc="28A486BC" w:tentative="1">
      <w:start w:val="1"/>
      <w:numFmt w:val="bullet"/>
      <w:lvlText w:val="o"/>
      <w:lvlJc w:val="left"/>
      <w:pPr>
        <w:ind w:left="1440" w:hanging="360"/>
      </w:pPr>
      <w:rPr>
        <w:rFonts w:ascii="Courier New" w:hAnsi="Courier New" w:cs="Courier New" w:hint="default"/>
      </w:rPr>
    </w:lvl>
    <w:lvl w:ilvl="2" w:tplc="57642FC0" w:tentative="1">
      <w:start w:val="1"/>
      <w:numFmt w:val="bullet"/>
      <w:lvlText w:val=""/>
      <w:lvlJc w:val="left"/>
      <w:pPr>
        <w:ind w:left="2160" w:hanging="360"/>
      </w:pPr>
      <w:rPr>
        <w:rFonts w:ascii="Wingdings" w:hAnsi="Wingdings" w:hint="default"/>
      </w:rPr>
    </w:lvl>
    <w:lvl w:ilvl="3" w:tplc="2E0CDF94" w:tentative="1">
      <w:start w:val="1"/>
      <w:numFmt w:val="bullet"/>
      <w:lvlText w:val=""/>
      <w:lvlJc w:val="left"/>
      <w:pPr>
        <w:ind w:left="2880" w:hanging="360"/>
      </w:pPr>
      <w:rPr>
        <w:rFonts w:ascii="Symbol" w:hAnsi="Symbol" w:hint="default"/>
      </w:rPr>
    </w:lvl>
    <w:lvl w:ilvl="4" w:tplc="E9EE00C4" w:tentative="1">
      <w:start w:val="1"/>
      <w:numFmt w:val="bullet"/>
      <w:lvlText w:val="o"/>
      <w:lvlJc w:val="left"/>
      <w:pPr>
        <w:ind w:left="3600" w:hanging="360"/>
      </w:pPr>
      <w:rPr>
        <w:rFonts w:ascii="Courier New" w:hAnsi="Courier New" w:cs="Courier New" w:hint="default"/>
      </w:rPr>
    </w:lvl>
    <w:lvl w:ilvl="5" w:tplc="A24E0388" w:tentative="1">
      <w:start w:val="1"/>
      <w:numFmt w:val="bullet"/>
      <w:lvlText w:val=""/>
      <w:lvlJc w:val="left"/>
      <w:pPr>
        <w:ind w:left="4320" w:hanging="360"/>
      </w:pPr>
      <w:rPr>
        <w:rFonts w:ascii="Wingdings" w:hAnsi="Wingdings" w:hint="default"/>
      </w:rPr>
    </w:lvl>
    <w:lvl w:ilvl="6" w:tplc="B2226124" w:tentative="1">
      <w:start w:val="1"/>
      <w:numFmt w:val="bullet"/>
      <w:lvlText w:val=""/>
      <w:lvlJc w:val="left"/>
      <w:pPr>
        <w:ind w:left="5040" w:hanging="360"/>
      </w:pPr>
      <w:rPr>
        <w:rFonts w:ascii="Symbol" w:hAnsi="Symbol" w:hint="default"/>
      </w:rPr>
    </w:lvl>
    <w:lvl w:ilvl="7" w:tplc="30187956" w:tentative="1">
      <w:start w:val="1"/>
      <w:numFmt w:val="bullet"/>
      <w:lvlText w:val="o"/>
      <w:lvlJc w:val="left"/>
      <w:pPr>
        <w:ind w:left="5760" w:hanging="360"/>
      </w:pPr>
      <w:rPr>
        <w:rFonts w:ascii="Courier New" w:hAnsi="Courier New" w:cs="Courier New" w:hint="default"/>
      </w:rPr>
    </w:lvl>
    <w:lvl w:ilvl="8" w:tplc="4B6CE078" w:tentative="1">
      <w:start w:val="1"/>
      <w:numFmt w:val="bullet"/>
      <w:lvlText w:val=""/>
      <w:lvlJc w:val="left"/>
      <w:pPr>
        <w:ind w:left="6480" w:hanging="360"/>
      </w:pPr>
      <w:rPr>
        <w:rFonts w:ascii="Wingdings" w:hAnsi="Wingdings" w:hint="default"/>
      </w:rPr>
    </w:lvl>
  </w:abstractNum>
  <w:abstractNum w:abstractNumId="27" w15:restartNumberingAfterBreak="0">
    <w:nsid w:val="58E506AB"/>
    <w:multiLevelType w:val="hybridMultilevel"/>
    <w:tmpl w:val="42F652E8"/>
    <w:lvl w:ilvl="0" w:tplc="A880A428">
      <w:numFmt w:val="bullet"/>
      <w:lvlText w:val="•"/>
      <w:lvlJc w:val="left"/>
      <w:pPr>
        <w:ind w:left="1080" w:hanging="720"/>
      </w:pPr>
      <w:rPr>
        <w:rFonts w:ascii="Arial Narrow" w:eastAsiaTheme="minorHAnsi" w:hAnsi="Arial Narrow" w:cstheme="minorBidi" w:hint="default"/>
      </w:rPr>
    </w:lvl>
    <w:lvl w:ilvl="1" w:tplc="413C084C" w:tentative="1">
      <w:start w:val="1"/>
      <w:numFmt w:val="bullet"/>
      <w:lvlText w:val="o"/>
      <w:lvlJc w:val="left"/>
      <w:pPr>
        <w:ind w:left="1440" w:hanging="360"/>
      </w:pPr>
      <w:rPr>
        <w:rFonts w:ascii="Courier New" w:hAnsi="Courier New" w:cs="Courier New" w:hint="default"/>
      </w:rPr>
    </w:lvl>
    <w:lvl w:ilvl="2" w:tplc="B5A2B3DC" w:tentative="1">
      <w:start w:val="1"/>
      <w:numFmt w:val="bullet"/>
      <w:lvlText w:val=""/>
      <w:lvlJc w:val="left"/>
      <w:pPr>
        <w:ind w:left="2160" w:hanging="360"/>
      </w:pPr>
      <w:rPr>
        <w:rFonts w:ascii="Wingdings" w:hAnsi="Wingdings" w:hint="default"/>
      </w:rPr>
    </w:lvl>
    <w:lvl w:ilvl="3" w:tplc="94945732" w:tentative="1">
      <w:start w:val="1"/>
      <w:numFmt w:val="bullet"/>
      <w:lvlText w:val=""/>
      <w:lvlJc w:val="left"/>
      <w:pPr>
        <w:ind w:left="2880" w:hanging="360"/>
      </w:pPr>
      <w:rPr>
        <w:rFonts w:ascii="Symbol" w:hAnsi="Symbol" w:hint="default"/>
      </w:rPr>
    </w:lvl>
    <w:lvl w:ilvl="4" w:tplc="9444594A" w:tentative="1">
      <w:start w:val="1"/>
      <w:numFmt w:val="bullet"/>
      <w:lvlText w:val="o"/>
      <w:lvlJc w:val="left"/>
      <w:pPr>
        <w:ind w:left="3600" w:hanging="360"/>
      </w:pPr>
      <w:rPr>
        <w:rFonts w:ascii="Courier New" w:hAnsi="Courier New" w:cs="Courier New" w:hint="default"/>
      </w:rPr>
    </w:lvl>
    <w:lvl w:ilvl="5" w:tplc="07BE88E0" w:tentative="1">
      <w:start w:val="1"/>
      <w:numFmt w:val="bullet"/>
      <w:lvlText w:val=""/>
      <w:lvlJc w:val="left"/>
      <w:pPr>
        <w:ind w:left="4320" w:hanging="360"/>
      </w:pPr>
      <w:rPr>
        <w:rFonts w:ascii="Wingdings" w:hAnsi="Wingdings" w:hint="default"/>
      </w:rPr>
    </w:lvl>
    <w:lvl w:ilvl="6" w:tplc="8F8A4DB0" w:tentative="1">
      <w:start w:val="1"/>
      <w:numFmt w:val="bullet"/>
      <w:lvlText w:val=""/>
      <w:lvlJc w:val="left"/>
      <w:pPr>
        <w:ind w:left="5040" w:hanging="360"/>
      </w:pPr>
      <w:rPr>
        <w:rFonts w:ascii="Symbol" w:hAnsi="Symbol" w:hint="default"/>
      </w:rPr>
    </w:lvl>
    <w:lvl w:ilvl="7" w:tplc="AAA2A4AE" w:tentative="1">
      <w:start w:val="1"/>
      <w:numFmt w:val="bullet"/>
      <w:lvlText w:val="o"/>
      <w:lvlJc w:val="left"/>
      <w:pPr>
        <w:ind w:left="5760" w:hanging="360"/>
      </w:pPr>
      <w:rPr>
        <w:rFonts w:ascii="Courier New" w:hAnsi="Courier New" w:cs="Courier New" w:hint="default"/>
      </w:rPr>
    </w:lvl>
    <w:lvl w:ilvl="8" w:tplc="32626716" w:tentative="1">
      <w:start w:val="1"/>
      <w:numFmt w:val="bullet"/>
      <w:lvlText w:val=""/>
      <w:lvlJc w:val="left"/>
      <w:pPr>
        <w:ind w:left="6480" w:hanging="360"/>
      </w:pPr>
      <w:rPr>
        <w:rFonts w:ascii="Wingdings" w:hAnsi="Wingdings" w:hint="default"/>
      </w:rPr>
    </w:lvl>
  </w:abstractNum>
  <w:abstractNum w:abstractNumId="28" w15:restartNumberingAfterBreak="0">
    <w:nsid w:val="5A861671"/>
    <w:multiLevelType w:val="hybridMultilevel"/>
    <w:tmpl w:val="11BEFCF0"/>
    <w:lvl w:ilvl="0" w:tplc="A23E920E">
      <w:start w:val="1"/>
      <w:numFmt w:val="bullet"/>
      <w:lvlText w:val=""/>
      <w:lvlJc w:val="left"/>
      <w:pPr>
        <w:ind w:left="1080" w:hanging="360"/>
      </w:pPr>
      <w:rPr>
        <w:rFonts w:ascii="Symbol" w:hAnsi="Symbol" w:hint="default"/>
      </w:rPr>
    </w:lvl>
    <w:lvl w:ilvl="1" w:tplc="A08ED30C">
      <w:start w:val="2"/>
      <w:numFmt w:val="bullet"/>
      <w:lvlText w:val=""/>
      <w:lvlJc w:val="left"/>
      <w:pPr>
        <w:ind w:left="1800" w:hanging="360"/>
      </w:pPr>
      <w:rPr>
        <w:rFonts w:ascii="Wingdings" w:eastAsia="Calibri" w:hAnsi="Wingdings" w:cs="Times New Roman" w:hint="default"/>
      </w:rPr>
    </w:lvl>
    <w:lvl w:ilvl="2" w:tplc="05282290" w:tentative="1">
      <w:start w:val="1"/>
      <w:numFmt w:val="bullet"/>
      <w:lvlText w:val=""/>
      <w:lvlJc w:val="left"/>
      <w:pPr>
        <w:ind w:left="2520" w:hanging="360"/>
      </w:pPr>
      <w:rPr>
        <w:rFonts w:ascii="Wingdings" w:hAnsi="Wingdings" w:hint="default"/>
      </w:rPr>
    </w:lvl>
    <w:lvl w:ilvl="3" w:tplc="4752784C" w:tentative="1">
      <w:start w:val="1"/>
      <w:numFmt w:val="bullet"/>
      <w:lvlText w:val=""/>
      <w:lvlJc w:val="left"/>
      <w:pPr>
        <w:ind w:left="3240" w:hanging="360"/>
      </w:pPr>
      <w:rPr>
        <w:rFonts w:ascii="Symbol" w:hAnsi="Symbol" w:hint="default"/>
      </w:rPr>
    </w:lvl>
    <w:lvl w:ilvl="4" w:tplc="8C8E8686" w:tentative="1">
      <w:start w:val="1"/>
      <w:numFmt w:val="bullet"/>
      <w:lvlText w:val="o"/>
      <w:lvlJc w:val="left"/>
      <w:pPr>
        <w:ind w:left="3960" w:hanging="360"/>
      </w:pPr>
      <w:rPr>
        <w:rFonts w:ascii="Courier New" w:hAnsi="Courier New" w:cs="Courier New" w:hint="default"/>
      </w:rPr>
    </w:lvl>
    <w:lvl w:ilvl="5" w:tplc="3A6CBC4E" w:tentative="1">
      <w:start w:val="1"/>
      <w:numFmt w:val="bullet"/>
      <w:lvlText w:val=""/>
      <w:lvlJc w:val="left"/>
      <w:pPr>
        <w:ind w:left="4680" w:hanging="360"/>
      </w:pPr>
      <w:rPr>
        <w:rFonts w:ascii="Wingdings" w:hAnsi="Wingdings" w:hint="default"/>
      </w:rPr>
    </w:lvl>
    <w:lvl w:ilvl="6" w:tplc="88A45EB6" w:tentative="1">
      <w:start w:val="1"/>
      <w:numFmt w:val="bullet"/>
      <w:lvlText w:val=""/>
      <w:lvlJc w:val="left"/>
      <w:pPr>
        <w:ind w:left="5400" w:hanging="360"/>
      </w:pPr>
      <w:rPr>
        <w:rFonts w:ascii="Symbol" w:hAnsi="Symbol" w:hint="default"/>
      </w:rPr>
    </w:lvl>
    <w:lvl w:ilvl="7" w:tplc="CFAA658A" w:tentative="1">
      <w:start w:val="1"/>
      <w:numFmt w:val="bullet"/>
      <w:lvlText w:val="o"/>
      <w:lvlJc w:val="left"/>
      <w:pPr>
        <w:ind w:left="6120" w:hanging="360"/>
      </w:pPr>
      <w:rPr>
        <w:rFonts w:ascii="Courier New" w:hAnsi="Courier New" w:cs="Courier New" w:hint="default"/>
      </w:rPr>
    </w:lvl>
    <w:lvl w:ilvl="8" w:tplc="DCD46F90" w:tentative="1">
      <w:start w:val="1"/>
      <w:numFmt w:val="bullet"/>
      <w:lvlText w:val=""/>
      <w:lvlJc w:val="left"/>
      <w:pPr>
        <w:ind w:left="6840" w:hanging="360"/>
      </w:pPr>
      <w:rPr>
        <w:rFonts w:ascii="Wingdings" w:hAnsi="Wingdings" w:hint="default"/>
      </w:rPr>
    </w:lvl>
  </w:abstractNum>
  <w:abstractNum w:abstractNumId="29" w15:restartNumberingAfterBreak="0">
    <w:nsid w:val="5C655C35"/>
    <w:multiLevelType w:val="hybridMultilevel"/>
    <w:tmpl w:val="50BCC43E"/>
    <w:lvl w:ilvl="0" w:tplc="645C8104">
      <w:start w:val="1"/>
      <w:numFmt w:val="bullet"/>
      <w:lvlText w:val=""/>
      <w:lvlJc w:val="left"/>
      <w:pPr>
        <w:ind w:left="720" w:hanging="360"/>
      </w:pPr>
      <w:rPr>
        <w:rFonts w:ascii="Symbol" w:hAnsi="Symbol" w:hint="default"/>
      </w:rPr>
    </w:lvl>
    <w:lvl w:ilvl="1" w:tplc="0460401C" w:tentative="1">
      <w:start w:val="1"/>
      <w:numFmt w:val="bullet"/>
      <w:lvlText w:val="o"/>
      <w:lvlJc w:val="left"/>
      <w:pPr>
        <w:ind w:left="1440" w:hanging="360"/>
      </w:pPr>
      <w:rPr>
        <w:rFonts w:ascii="Courier New" w:hAnsi="Courier New" w:cs="Courier New" w:hint="default"/>
      </w:rPr>
    </w:lvl>
    <w:lvl w:ilvl="2" w:tplc="DBFE26B2" w:tentative="1">
      <w:start w:val="1"/>
      <w:numFmt w:val="bullet"/>
      <w:lvlText w:val=""/>
      <w:lvlJc w:val="left"/>
      <w:pPr>
        <w:ind w:left="2160" w:hanging="360"/>
      </w:pPr>
      <w:rPr>
        <w:rFonts w:ascii="Wingdings" w:hAnsi="Wingdings" w:hint="default"/>
      </w:rPr>
    </w:lvl>
    <w:lvl w:ilvl="3" w:tplc="E3583A4E" w:tentative="1">
      <w:start w:val="1"/>
      <w:numFmt w:val="bullet"/>
      <w:lvlText w:val=""/>
      <w:lvlJc w:val="left"/>
      <w:pPr>
        <w:ind w:left="2880" w:hanging="360"/>
      </w:pPr>
      <w:rPr>
        <w:rFonts w:ascii="Symbol" w:hAnsi="Symbol" w:hint="default"/>
      </w:rPr>
    </w:lvl>
    <w:lvl w:ilvl="4" w:tplc="3F2620CC" w:tentative="1">
      <w:start w:val="1"/>
      <w:numFmt w:val="bullet"/>
      <w:lvlText w:val="o"/>
      <w:lvlJc w:val="left"/>
      <w:pPr>
        <w:ind w:left="3600" w:hanging="360"/>
      </w:pPr>
      <w:rPr>
        <w:rFonts w:ascii="Courier New" w:hAnsi="Courier New" w:cs="Courier New" w:hint="default"/>
      </w:rPr>
    </w:lvl>
    <w:lvl w:ilvl="5" w:tplc="9DAEC0F8" w:tentative="1">
      <w:start w:val="1"/>
      <w:numFmt w:val="bullet"/>
      <w:lvlText w:val=""/>
      <w:lvlJc w:val="left"/>
      <w:pPr>
        <w:ind w:left="4320" w:hanging="360"/>
      </w:pPr>
      <w:rPr>
        <w:rFonts w:ascii="Wingdings" w:hAnsi="Wingdings" w:hint="default"/>
      </w:rPr>
    </w:lvl>
    <w:lvl w:ilvl="6" w:tplc="794E270C" w:tentative="1">
      <w:start w:val="1"/>
      <w:numFmt w:val="bullet"/>
      <w:lvlText w:val=""/>
      <w:lvlJc w:val="left"/>
      <w:pPr>
        <w:ind w:left="5040" w:hanging="360"/>
      </w:pPr>
      <w:rPr>
        <w:rFonts w:ascii="Symbol" w:hAnsi="Symbol" w:hint="default"/>
      </w:rPr>
    </w:lvl>
    <w:lvl w:ilvl="7" w:tplc="63E02496" w:tentative="1">
      <w:start w:val="1"/>
      <w:numFmt w:val="bullet"/>
      <w:lvlText w:val="o"/>
      <w:lvlJc w:val="left"/>
      <w:pPr>
        <w:ind w:left="5760" w:hanging="360"/>
      </w:pPr>
      <w:rPr>
        <w:rFonts w:ascii="Courier New" w:hAnsi="Courier New" w:cs="Courier New" w:hint="default"/>
      </w:rPr>
    </w:lvl>
    <w:lvl w:ilvl="8" w:tplc="11F43F98" w:tentative="1">
      <w:start w:val="1"/>
      <w:numFmt w:val="bullet"/>
      <w:lvlText w:val=""/>
      <w:lvlJc w:val="left"/>
      <w:pPr>
        <w:ind w:left="6480" w:hanging="360"/>
      </w:pPr>
      <w:rPr>
        <w:rFonts w:ascii="Wingdings" w:hAnsi="Wingdings" w:hint="default"/>
      </w:rPr>
    </w:lvl>
  </w:abstractNum>
  <w:abstractNum w:abstractNumId="30" w15:restartNumberingAfterBreak="0">
    <w:nsid w:val="5C737BEC"/>
    <w:multiLevelType w:val="hybridMultilevel"/>
    <w:tmpl w:val="C32CE7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CB564A6"/>
    <w:multiLevelType w:val="hybridMultilevel"/>
    <w:tmpl w:val="03DA289C"/>
    <w:lvl w:ilvl="0" w:tplc="F26EF71A">
      <w:start w:val="1"/>
      <w:numFmt w:val="bullet"/>
      <w:lvlText w:val=""/>
      <w:lvlJc w:val="left"/>
      <w:pPr>
        <w:ind w:left="720" w:hanging="360"/>
      </w:pPr>
      <w:rPr>
        <w:rFonts w:ascii="Symbol" w:hAnsi="Symbol" w:hint="default"/>
      </w:rPr>
    </w:lvl>
    <w:lvl w:ilvl="1" w:tplc="34FE57AA" w:tentative="1">
      <w:start w:val="1"/>
      <w:numFmt w:val="bullet"/>
      <w:lvlText w:val="o"/>
      <w:lvlJc w:val="left"/>
      <w:pPr>
        <w:ind w:left="1440" w:hanging="360"/>
      </w:pPr>
      <w:rPr>
        <w:rFonts w:ascii="Courier New" w:hAnsi="Courier New" w:cs="Courier New" w:hint="default"/>
      </w:rPr>
    </w:lvl>
    <w:lvl w:ilvl="2" w:tplc="9A68F5C4" w:tentative="1">
      <w:start w:val="1"/>
      <w:numFmt w:val="bullet"/>
      <w:lvlText w:val=""/>
      <w:lvlJc w:val="left"/>
      <w:pPr>
        <w:ind w:left="2160" w:hanging="360"/>
      </w:pPr>
      <w:rPr>
        <w:rFonts w:ascii="Wingdings" w:hAnsi="Wingdings" w:hint="default"/>
      </w:rPr>
    </w:lvl>
    <w:lvl w:ilvl="3" w:tplc="016E2E66" w:tentative="1">
      <w:start w:val="1"/>
      <w:numFmt w:val="bullet"/>
      <w:lvlText w:val=""/>
      <w:lvlJc w:val="left"/>
      <w:pPr>
        <w:ind w:left="2880" w:hanging="360"/>
      </w:pPr>
      <w:rPr>
        <w:rFonts w:ascii="Symbol" w:hAnsi="Symbol" w:hint="default"/>
      </w:rPr>
    </w:lvl>
    <w:lvl w:ilvl="4" w:tplc="7CE4BC16" w:tentative="1">
      <w:start w:val="1"/>
      <w:numFmt w:val="bullet"/>
      <w:lvlText w:val="o"/>
      <w:lvlJc w:val="left"/>
      <w:pPr>
        <w:ind w:left="3600" w:hanging="360"/>
      </w:pPr>
      <w:rPr>
        <w:rFonts w:ascii="Courier New" w:hAnsi="Courier New" w:cs="Courier New" w:hint="default"/>
      </w:rPr>
    </w:lvl>
    <w:lvl w:ilvl="5" w:tplc="3A80994C" w:tentative="1">
      <w:start w:val="1"/>
      <w:numFmt w:val="bullet"/>
      <w:lvlText w:val=""/>
      <w:lvlJc w:val="left"/>
      <w:pPr>
        <w:ind w:left="4320" w:hanging="360"/>
      </w:pPr>
      <w:rPr>
        <w:rFonts w:ascii="Wingdings" w:hAnsi="Wingdings" w:hint="default"/>
      </w:rPr>
    </w:lvl>
    <w:lvl w:ilvl="6" w:tplc="6BCCFB16" w:tentative="1">
      <w:start w:val="1"/>
      <w:numFmt w:val="bullet"/>
      <w:lvlText w:val=""/>
      <w:lvlJc w:val="left"/>
      <w:pPr>
        <w:ind w:left="5040" w:hanging="360"/>
      </w:pPr>
      <w:rPr>
        <w:rFonts w:ascii="Symbol" w:hAnsi="Symbol" w:hint="default"/>
      </w:rPr>
    </w:lvl>
    <w:lvl w:ilvl="7" w:tplc="3AB0F35C" w:tentative="1">
      <w:start w:val="1"/>
      <w:numFmt w:val="bullet"/>
      <w:lvlText w:val="o"/>
      <w:lvlJc w:val="left"/>
      <w:pPr>
        <w:ind w:left="5760" w:hanging="360"/>
      </w:pPr>
      <w:rPr>
        <w:rFonts w:ascii="Courier New" w:hAnsi="Courier New" w:cs="Courier New" w:hint="default"/>
      </w:rPr>
    </w:lvl>
    <w:lvl w:ilvl="8" w:tplc="98241C84" w:tentative="1">
      <w:start w:val="1"/>
      <w:numFmt w:val="bullet"/>
      <w:lvlText w:val=""/>
      <w:lvlJc w:val="left"/>
      <w:pPr>
        <w:ind w:left="6480" w:hanging="360"/>
      </w:pPr>
      <w:rPr>
        <w:rFonts w:ascii="Wingdings" w:hAnsi="Wingdings" w:hint="default"/>
      </w:rPr>
    </w:lvl>
  </w:abstractNum>
  <w:abstractNum w:abstractNumId="32" w15:restartNumberingAfterBreak="0">
    <w:nsid w:val="5E9705E9"/>
    <w:multiLevelType w:val="hybridMultilevel"/>
    <w:tmpl w:val="F67C86B6"/>
    <w:lvl w:ilvl="0" w:tplc="642660AE">
      <w:start w:val="1"/>
      <w:numFmt w:val="bullet"/>
      <w:lvlText w:val=""/>
      <w:lvlJc w:val="left"/>
      <w:pPr>
        <w:ind w:left="720" w:hanging="360"/>
      </w:pPr>
      <w:rPr>
        <w:rFonts w:ascii="Symbol" w:hAnsi="Symbol" w:hint="default"/>
      </w:rPr>
    </w:lvl>
    <w:lvl w:ilvl="1" w:tplc="7010997E" w:tentative="1">
      <w:start w:val="1"/>
      <w:numFmt w:val="bullet"/>
      <w:lvlText w:val="o"/>
      <w:lvlJc w:val="left"/>
      <w:pPr>
        <w:ind w:left="1440" w:hanging="360"/>
      </w:pPr>
      <w:rPr>
        <w:rFonts w:ascii="Courier New" w:hAnsi="Courier New" w:cs="Courier New" w:hint="default"/>
      </w:rPr>
    </w:lvl>
    <w:lvl w:ilvl="2" w:tplc="037E5798" w:tentative="1">
      <w:start w:val="1"/>
      <w:numFmt w:val="bullet"/>
      <w:lvlText w:val=""/>
      <w:lvlJc w:val="left"/>
      <w:pPr>
        <w:ind w:left="2160" w:hanging="360"/>
      </w:pPr>
      <w:rPr>
        <w:rFonts w:ascii="Wingdings" w:hAnsi="Wingdings" w:hint="default"/>
      </w:rPr>
    </w:lvl>
    <w:lvl w:ilvl="3" w:tplc="F5461EB8" w:tentative="1">
      <w:start w:val="1"/>
      <w:numFmt w:val="bullet"/>
      <w:lvlText w:val=""/>
      <w:lvlJc w:val="left"/>
      <w:pPr>
        <w:ind w:left="2880" w:hanging="360"/>
      </w:pPr>
      <w:rPr>
        <w:rFonts w:ascii="Symbol" w:hAnsi="Symbol" w:hint="default"/>
      </w:rPr>
    </w:lvl>
    <w:lvl w:ilvl="4" w:tplc="EC0E88A4" w:tentative="1">
      <w:start w:val="1"/>
      <w:numFmt w:val="bullet"/>
      <w:lvlText w:val="o"/>
      <w:lvlJc w:val="left"/>
      <w:pPr>
        <w:ind w:left="3600" w:hanging="360"/>
      </w:pPr>
      <w:rPr>
        <w:rFonts w:ascii="Courier New" w:hAnsi="Courier New" w:cs="Courier New" w:hint="default"/>
      </w:rPr>
    </w:lvl>
    <w:lvl w:ilvl="5" w:tplc="82A2212A" w:tentative="1">
      <w:start w:val="1"/>
      <w:numFmt w:val="bullet"/>
      <w:lvlText w:val=""/>
      <w:lvlJc w:val="left"/>
      <w:pPr>
        <w:ind w:left="4320" w:hanging="360"/>
      </w:pPr>
      <w:rPr>
        <w:rFonts w:ascii="Wingdings" w:hAnsi="Wingdings" w:hint="default"/>
      </w:rPr>
    </w:lvl>
    <w:lvl w:ilvl="6" w:tplc="C80284F2" w:tentative="1">
      <w:start w:val="1"/>
      <w:numFmt w:val="bullet"/>
      <w:lvlText w:val=""/>
      <w:lvlJc w:val="left"/>
      <w:pPr>
        <w:ind w:left="5040" w:hanging="360"/>
      </w:pPr>
      <w:rPr>
        <w:rFonts w:ascii="Symbol" w:hAnsi="Symbol" w:hint="default"/>
      </w:rPr>
    </w:lvl>
    <w:lvl w:ilvl="7" w:tplc="B1582F24" w:tentative="1">
      <w:start w:val="1"/>
      <w:numFmt w:val="bullet"/>
      <w:lvlText w:val="o"/>
      <w:lvlJc w:val="left"/>
      <w:pPr>
        <w:ind w:left="5760" w:hanging="360"/>
      </w:pPr>
      <w:rPr>
        <w:rFonts w:ascii="Courier New" w:hAnsi="Courier New" w:cs="Courier New" w:hint="default"/>
      </w:rPr>
    </w:lvl>
    <w:lvl w:ilvl="8" w:tplc="BD12FAD4" w:tentative="1">
      <w:start w:val="1"/>
      <w:numFmt w:val="bullet"/>
      <w:lvlText w:val=""/>
      <w:lvlJc w:val="left"/>
      <w:pPr>
        <w:ind w:left="6480" w:hanging="360"/>
      </w:pPr>
      <w:rPr>
        <w:rFonts w:ascii="Wingdings" w:hAnsi="Wingdings" w:hint="default"/>
      </w:rPr>
    </w:lvl>
  </w:abstractNum>
  <w:abstractNum w:abstractNumId="33" w15:restartNumberingAfterBreak="0">
    <w:nsid w:val="60C95369"/>
    <w:multiLevelType w:val="hybridMultilevel"/>
    <w:tmpl w:val="5540EFD4"/>
    <w:lvl w:ilvl="0" w:tplc="278A5964">
      <w:start w:val="1"/>
      <w:numFmt w:val="bullet"/>
      <w:lvlText w:val=""/>
      <w:lvlJc w:val="left"/>
      <w:pPr>
        <w:ind w:left="720" w:hanging="360"/>
      </w:pPr>
      <w:rPr>
        <w:rFonts w:ascii="Symbol" w:hAnsi="Symbol" w:cs="Symbol" w:hint="default"/>
      </w:rPr>
    </w:lvl>
    <w:lvl w:ilvl="1" w:tplc="DF30B692" w:tentative="1">
      <w:start w:val="1"/>
      <w:numFmt w:val="bullet"/>
      <w:lvlText w:val="o"/>
      <w:lvlJc w:val="left"/>
      <w:pPr>
        <w:ind w:left="1440" w:hanging="360"/>
      </w:pPr>
      <w:rPr>
        <w:rFonts w:ascii="Courier New" w:hAnsi="Courier New" w:cs="Courier New" w:hint="default"/>
      </w:rPr>
    </w:lvl>
    <w:lvl w:ilvl="2" w:tplc="7BE0BA66" w:tentative="1">
      <w:start w:val="1"/>
      <w:numFmt w:val="bullet"/>
      <w:lvlText w:val=""/>
      <w:lvlJc w:val="left"/>
      <w:pPr>
        <w:ind w:left="2160" w:hanging="360"/>
      </w:pPr>
      <w:rPr>
        <w:rFonts w:ascii="Wingdings" w:hAnsi="Wingdings" w:cs="Wingdings" w:hint="default"/>
      </w:rPr>
    </w:lvl>
    <w:lvl w:ilvl="3" w:tplc="91840E8E" w:tentative="1">
      <w:start w:val="1"/>
      <w:numFmt w:val="bullet"/>
      <w:lvlText w:val=""/>
      <w:lvlJc w:val="left"/>
      <w:pPr>
        <w:ind w:left="2880" w:hanging="360"/>
      </w:pPr>
      <w:rPr>
        <w:rFonts w:ascii="Symbol" w:hAnsi="Symbol" w:cs="Symbol" w:hint="default"/>
      </w:rPr>
    </w:lvl>
    <w:lvl w:ilvl="4" w:tplc="CEDEA772" w:tentative="1">
      <w:start w:val="1"/>
      <w:numFmt w:val="bullet"/>
      <w:lvlText w:val="o"/>
      <w:lvlJc w:val="left"/>
      <w:pPr>
        <w:ind w:left="3600" w:hanging="360"/>
      </w:pPr>
      <w:rPr>
        <w:rFonts w:ascii="Courier New" w:hAnsi="Courier New" w:cs="Courier New" w:hint="default"/>
      </w:rPr>
    </w:lvl>
    <w:lvl w:ilvl="5" w:tplc="69704CA6" w:tentative="1">
      <w:start w:val="1"/>
      <w:numFmt w:val="bullet"/>
      <w:lvlText w:val=""/>
      <w:lvlJc w:val="left"/>
      <w:pPr>
        <w:ind w:left="4320" w:hanging="360"/>
      </w:pPr>
      <w:rPr>
        <w:rFonts w:ascii="Wingdings" w:hAnsi="Wingdings" w:cs="Wingdings" w:hint="default"/>
      </w:rPr>
    </w:lvl>
    <w:lvl w:ilvl="6" w:tplc="C99C22D0" w:tentative="1">
      <w:start w:val="1"/>
      <w:numFmt w:val="bullet"/>
      <w:lvlText w:val=""/>
      <w:lvlJc w:val="left"/>
      <w:pPr>
        <w:ind w:left="5040" w:hanging="360"/>
      </w:pPr>
      <w:rPr>
        <w:rFonts w:ascii="Symbol" w:hAnsi="Symbol" w:cs="Symbol" w:hint="default"/>
      </w:rPr>
    </w:lvl>
    <w:lvl w:ilvl="7" w:tplc="1182EFCA" w:tentative="1">
      <w:start w:val="1"/>
      <w:numFmt w:val="bullet"/>
      <w:lvlText w:val="o"/>
      <w:lvlJc w:val="left"/>
      <w:pPr>
        <w:ind w:left="5760" w:hanging="360"/>
      </w:pPr>
      <w:rPr>
        <w:rFonts w:ascii="Courier New" w:hAnsi="Courier New" w:cs="Courier New" w:hint="default"/>
      </w:rPr>
    </w:lvl>
    <w:lvl w:ilvl="8" w:tplc="C0483958" w:tentative="1">
      <w:start w:val="1"/>
      <w:numFmt w:val="bullet"/>
      <w:lvlText w:val=""/>
      <w:lvlJc w:val="left"/>
      <w:pPr>
        <w:ind w:left="6480" w:hanging="360"/>
      </w:pPr>
      <w:rPr>
        <w:rFonts w:ascii="Wingdings" w:hAnsi="Wingdings" w:cs="Wingdings" w:hint="default"/>
      </w:rPr>
    </w:lvl>
  </w:abstractNum>
  <w:abstractNum w:abstractNumId="34" w15:restartNumberingAfterBreak="0">
    <w:nsid w:val="626C118B"/>
    <w:multiLevelType w:val="hybridMultilevel"/>
    <w:tmpl w:val="5D9485E2"/>
    <w:lvl w:ilvl="0" w:tplc="F0DCDCE2">
      <w:start w:val="1"/>
      <w:numFmt w:val="bullet"/>
      <w:lvlText w:val=""/>
      <w:lvlJc w:val="left"/>
      <w:pPr>
        <w:ind w:left="720" w:hanging="360"/>
      </w:pPr>
      <w:rPr>
        <w:rFonts w:ascii="Symbol" w:hAnsi="Symbol" w:hint="default"/>
      </w:rPr>
    </w:lvl>
    <w:lvl w:ilvl="1" w:tplc="4ED8416C" w:tentative="1">
      <w:start w:val="1"/>
      <w:numFmt w:val="bullet"/>
      <w:lvlText w:val="o"/>
      <w:lvlJc w:val="left"/>
      <w:pPr>
        <w:ind w:left="1440" w:hanging="360"/>
      </w:pPr>
      <w:rPr>
        <w:rFonts w:ascii="Courier New" w:hAnsi="Courier New" w:cs="Courier New" w:hint="default"/>
      </w:rPr>
    </w:lvl>
    <w:lvl w:ilvl="2" w:tplc="18A0F936" w:tentative="1">
      <w:start w:val="1"/>
      <w:numFmt w:val="bullet"/>
      <w:lvlText w:val=""/>
      <w:lvlJc w:val="left"/>
      <w:pPr>
        <w:ind w:left="2160" w:hanging="360"/>
      </w:pPr>
      <w:rPr>
        <w:rFonts w:ascii="Wingdings" w:hAnsi="Wingdings" w:hint="default"/>
      </w:rPr>
    </w:lvl>
    <w:lvl w:ilvl="3" w:tplc="3CC81204" w:tentative="1">
      <w:start w:val="1"/>
      <w:numFmt w:val="bullet"/>
      <w:lvlText w:val=""/>
      <w:lvlJc w:val="left"/>
      <w:pPr>
        <w:ind w:left="2880" w:hanging="360"/>
      </w:pPr>
      <w:rPr>
        <w:rFonts w:ascii="Symbol" w:hAnsi="Symbol" w:hint="default"/>
      </w:rPr>
    </w:lvl>
    <w:lvl w:ilvl="4" w:tplc="80F8282A" w:tentative="1">
      <w:start w:val="1"/>
      <w:numFmt w:val="bullet"/>
      <w:lvlText w:val="o"/>
      <w:lvlJc w:val="left"/>
      <w:pPr>
        <w:ind w:left="3600" w:hanging="360"/>
      </w:pPr>
      <w:rPr>
        <w:rFonts w:ascii="Courier New" w:hAnsi="Courier New" w:cs="Courier New" w:hint="default"/>
      </w:rPr>
    </w:lvl>
    <w:lvl w:ilvl="5" w:tplc="2D9CFD76" w:tentative="1">
      <w:start w:val="1"/>
      <w:numFmt w:val="bullet"/>
      <w:lvlText w:val=""/>
      <w:lvlJc w:val="left"/>
      <w:pPr>
        <w:ind w:left="4320" w:hanging="360"/>
      </w:pPr>
      <w:rPr>
        <w:rFonts w:ascii="Wingdings" w:hAnsi="Wingdings" w:hint="default"/>
      </w:rPr>
    </w:lvl>
    <w:lvl w:ilvl="6" w:tplc="45C4F108" w:tentative="1">
      <w:start w:val="1"/>
      <w:numFmt w:val="bullet"/>
      <w:lvlText w:val=""/>
      <w:lvlJc w:val="left"/>
      <w:pPr>
        <w:ind w:left="5040" w:hanging="360"/>
      </w:pPr>
      <w:rPr>
        <w:rFonts w:ascii="Symbol" w:hAnsi="Symbol" w:hint="default"/>
      </w:rPr>
    </w:lvl>
    <w:lvl w:ilvl="7" w:tplc="4DDC7312" w:tentative="1">
      <w:start w:val="1"/>
      <w:numFmt w:val="bullet"/>
      <w:lvlText w:val="o"/>
      <w:lvlJc w:val="left"/>
      <w:pPr>
        <w:ind w:left="5760" w:hanging="360"/>
      </w:pPr>
      <w:rPr>
        <w:rFonts w:ascii="Courier New" w:hAnsi="Courier New" w:cs="Courier New" w:hint="default"/>
      </w:rPr>
    </w:lvl>
    <w:lvl w:ilvl="8" w:tplc="0C7EA878" w:tentative="1">
      <w:start w:val="1"/>
      <w:numFmt w:val="bullet"/>
      <w:lvlText w:val=""/>
      <w:lvlJc w:val="left"/>
      <w:pPr>
        <w:ind w:left="6480" w:hanging="360"/>
      </w:pPr>
      <w:rPr>
        <w:rFonts w:ascii="Wingdings" w:hAnsi="Wingdings" w:hint="default"/>
      </w:rPr>
    </w:lvl>
  </w:abstractNum>
  <w:abstractNum w:abstractNumId="35" w15:restartNumberingAfterBreak="0">
    <w:nsid w:val="62D014EA"/>
    <w:multiLevelType w:val="hybridMultilevel"/>
    <w:tmpl w:val="3B965E22"/>
    <w:lvl w:ilvl="0" w:tplc="C6DEEA84">
      <w:start w:val="1"/>
      <w:numFmt w:val="bullet"/>
      <w:lvlText w:val=""/>
      <w:lvlJc w:val="left"/>
      <w:pPr>
        <w:ind w:left="720" w:hanging="360"/>
      </w:pPr>
      <w:rPr>
        <w:rFonts w:ascii="Symbol" w:hAnsi="Symbol" w:hint="default"/>
      </w:rPr>
    </w:lvl>
    <w:lvl w:ilvl="1" w:tplc="6E542A2E" w:tentative="1">
      <w:start w:val="1"/>
      <w:numFmt w:val="bullet"/>
      <w:lvlText w:val="o"/>
      <w:lvlJc w:val="left"/>
      <w:pPr>
        <w:ind w:left="1440" w:hanging="360"/>
      </w:pPr>
      <w:rPr>
        <w:rFonts w:ascii="Courier New" w:hAnsi="Courier New" w:cs="Courier New" w:hint="default"/>
      </w:rPr>
    </w:lvl>
    <w:lvl w:ilvl="2" w:tplc="8200E1D0" w:tentative="1">
      <w:start w:val="1"/>
      <w:numFmt w:val="bullet"/>
      <w:lvlText w:val=""/>
      <w:lvlJc w:val="left"/>
      <w:pPr>
        <w:ind w:left="2160" w:hanging="360"/>
      </w:pPr>
      <w:rPr>
        <w:rFonts w:ascii="Wingdings" w:hAnsi="Wingdings" w:hint="default"/>
      </w:rPr>
    </w:lvl>
    <w:lvl w:ilvl="3" w:tplc="8D4AFA00" w:tentative="1">
      <w:start w:val="1"/>
      <w:numFmt w:val="bullet"/>
      <w:lvlText w:val=""/>
      <w:lvlJc w:val="left"/>
      <w:pPr>
        <w:ind w:left="2880" w:hanging="360"/>
      </w:pPr>
      <w:rPr>
        <w:rFonts w:ascii="Symbol" w:hAnsi="Symbol" w:hint="default"/>
      </w:rPr>
    </w:lvl>
    <w:lvl w:ilvl="4" w:tplc="90FA703E" w:tentative="1">
      <w:start w:val="1"/>
      <w:numFmt w:val="bullet"/>
      <w:lvlText w:val="o"/>
      <w:lvlJc w:val="left"/>
      <w:pPr>
        <w:ind w:left="3600" w:hanging="360"/>
      </w:pPr>
      <w:rPr>
        <w:rFonts w:ascii="Courier New" w:hAnsi="Courier New" w:cs="Courier New" w:hint="default"/>
      </w:rPr>
    </w:lvl>
    <w:lvl w:ilvl="5" w:tplc="8D2AE97A" w:tentative="1">
      <w:start w:val="1"/>
      <w:numFmt w:val="bullet"/>
      <w:lvlText w:val=""/>
      <w:lvlJc w:val="left"/>
      <w:pPr>
        <w:ind w:left="4320" w:hanging="360"/>
      </w:pPr>
      <w:rPr>
        <w:rFonts w:ascii="Wingdings" w:hAnsi="Wingdings" w:hint="default"/>
      </w:rPr>
    </w:lvl>
    <w:lvl w:ilvl="6" w:tplc="845669C8" w:tentative="1">
      <w:start w:val="1"/>
      <w:numFmt w:val="bullet"/>
      <w:lvlText w:val=""/>
      <w:lvlJc w:val="left"/>
      <w:pPr>
        <w:ind w:left="5040" w:hanging="360"/>
      </w:pPr>
      <w:rPr>
        <w:rFonts w:ascii="Symbol" w:hAnsi="Symbol" w:hint="default"/>
      </w:rPr>
    </w:lvl>
    <w:lvl w:ilvl="7" w:tplc="753E455C" w:tentative="1">
      <w:start w:val="1"/>
      <w:numFmt w:val="bullet"/>
      <w:lvlText w:val="o"/>
      <w:lvlJc w:val="left"/>
      <w:pPr>
        <w:ind w:left="5760" w:hanging="360"/>
      </w:pPr>
      <w:rPr>
        <w:rFonts w:ascii="Courier New" w:hAnsi="Courier New" w:cs="Courier New" w:hint="default"/>
      </w:rPr>
    </w:lvl>
    <w:lvl w:ilvl="8" w:tplc="64C43CCC" w:tentative="1">
      <w:start w:val="1"/>
      <w:numFmt w:val="bullet"/>
      <w:lvlText w:val=""/>
      <w:lvlJc w:val="left"/>
      <w:pPr>
        <w:ind w:left="6480" w:hanging="360"/>
      </w:pPr>
      <w:rPr>
        <w:rFonts w:ascii="Wingdings" w:hAnsi="Wingdings" w:hint="default"/>
      </w:rPr>
    </w:lvl>
  </w:abstractNum>
  <w:abstractNum w:abstractNumId="36" w15:restartNumberingAfterBreak="0">
    <w:nsid w:val="6B323213"/>
    <w:multiLevelType w:val="hybridMultilevel"/>
    <w:tmpl w:val="68AAB460"/>
    <w:lvl w:ilvl="0" w:tplc="B13A9C82">
      <w:start w:val="1"/>
      <w:numFmt w:val="bullet"/>
      <w:lvlText w:val=""/>
      <w:lvlJc w:val="left"/>
      <w:pPr>
        <w:ind w:left="720" w:hanging="360"/>
      </w:pPr>
      <w:rPr>
        <w:rFonts w:ascii="Symbol" w:hAnsi="Symbol" w:hint="default"/>
      </w:rPr>
    </w:lvl>
    <w:lvl w:ilvl="1" w:tplc="9A3A0EE8" w:tentative="1">
      <w:start w:val="1"/>
      <w:numFmt w:val="bullet"/>
      <w:lvlText w:val="o"/>
      <w:lvlJc w:val="left"/>
      <w:pPr>
        <w:ind w:left="1440" w:hanging="360"/>
      </w:pPr>
      <w:rPr>
        <w:rFonts w:ascii="Courier New" w:hAnsi="Courier New" w:cs="Courier New" w:hint="default"/>
      </w:rPr>
    </w:lvl>
    <w:lvl w:ilvl="2" w:tplc="3850E6BE" w:tentative="1">
      <w:start w:val="1"/>
      <w:numFmt w:val="bullet"/>
      <w:lvlText w:val=""/>
      <w:lvlJc w:val="left"/>
      <w:pPr>
        <w:ind w:left="2160" w:hanging="360"/>
      </w:pPr>
      <w:rPr>
        <w:rFonts w:ascii="Wingdings" w:hAnsi="Wingdings" w:hint="default"/>
      </w:rPr>
    </w:lvl>
    <w:lvl w:ilvl="3" w:tplc="891EE642" w:tentative="1">
      <w:start w:val="1"/>
      <w:numFmt w:val="bullet"/>
      <w:lvlText w:val=""/>
      <w:lvlJc w:val="left"/>
      <w:pPr>
        <w:ind w:left="2880" w:hanging="360"/>
      </w:pPr>
      <w:rPr>
        <w:rFonts w:ascii="Symbol" w:hAnsi="Symbol" w:hint="default"/>
      </w:rPr>
    </w:lvl>
    <w:lvl w:ilvl="4" w:tplc="01F0C1DA" w:tentative="1">
      <w:start w:val="1"/>
      <w:numFmt w:val="bullet"/>
      <w:lvlText w:val="o"/>
      <w:lvlJc w:val="left"/>
      <w:pPr>
        <w:ind w:left="3600" w:hanging="360"/>
      </w:pPr>
      <w:rPr>
        <w:rFonts w:ascii="Courier New" w:hAnsi="Courier New" w:cs="Courier New" w:hint="default"/>
      </w:rPr>
    </w:lvl>
    <w:lvl w:ilvl="5" w:tplc="3EB892D4" w:tentative="1">
      <w:start w:val="1"/>
      <w:numFmt w:val="bullet"/>
      <w:lvlText w:val=""/>
      <w:lvlJc w:val="left"/>
      <w:pPr>
        <w:ind w:left="4320" w:hanging="360"/>
      </w:pPr>
      <w:rPr>
        <w:rFonts w:ascii="Wingdings" w:hAnsi="Wingdings" w:hint="default"/>
      </w:rPr>
    </w:lvl>
    <w:lvl w:ilvl="6" w:tplc="6108F27A" w:tentative="1">
      <w:start w:val="1"/>
      <w:numFmt w:val="bullet"/>
      <w:lvlText w:val=""/>
      <w:lvlJc w:val="left"/>
      <w:pPr>
        <w:ind w:left="5040" w:hanging="360"/>
      </w:pPr>
      <w:rPr>
        <w:rFonts w:ascii="Symbol" w:hAnsi="Symbol" w:hint="default"/>
      </w:rPr>
    </w:lvl>
    <w:lvl w:ilvl="7" w:tplc="CCBCFFF8" w:tentative="1">
      <w:start w:val="1"/>
      <w:numFmt w:val="bullet"/>
      <w:lvlText w:val="o"/>
      <w:lvlJc w:val="left"/>
      <w:pPr>
        <w:ind w:left="5760" w:hanging="360"/>
      </w:pPr>
      <w:rPr>
        <w:rFonts w:ascii="Courier New" w:hAnsi="Courier New" w:cs="Courier New" w:hint="default"/>
      </w:rPr>
    </w:lvl>
    <w:lvl w:ilvl="8" w:tplc="7004A868" w:tentative="1">
      <w:start w:val="1"/>
      <w:numFmt w:val="bullet"/>
      <w:lvlText w:val=""/>
      <w:lvlJc w:val="left"/>
      <w:pPr>
        <w:ind w:left="6480" w:hanging="360"/>
      </w:pPr>
      <w:rPr>
        <w:rFonts w:ascii="Wingdings" w:hAnsi="Wingdings" w:hint="default"/>
      </w:rPr>
    </w:lvl>
  </w:abstractNum>
  <w:abstractNum w:abstractNumId="37" w15:restartNumberingAfterBreak="0">
    <w:nsid w:val="77A11CB1"/>
    <w:multiLevelType w:val="hybridMultilevel"/>
    <w:tmpl w:val="4E74163C"/>
    <w:lvl w:ilvl="0" w:tplc="BD50476E">
      <w:start w:val="1"/>
      <w:numFmt w:val="bullet"/>
      <w:lvlText w:val=""/>
      <w:lvlJc w:val="left"/>
      <w:pPr>
        <w:ind w:left="720" w:hanging="360"/>
      </w:pPr>
      <w:rPr>
        <w:rFonts w:ascii="Symbol" w:hAnsi="Symbol" w:hint="default"/>
      </w:rPr>
    </w:lvl>
    <w:lvl w:ilvl="1" w:tplc="DEE0B9F0">
      <w:start w:val="2"/>
      <w:numFmt w:val="bullet"/>
      <w:lvlText w:val=""/>
      <w:lvlJc w:val="left"/>
      <w:pPr>
        <w:ind w:left="1440" w:hanging="360"/>
      </w:pPr>
      <w:rPr>
        <w:rFonts w:ascii="Wingdings" w:eastAsia="Calibri" w:hAnsi="Wingdings" w:cstheme="minorBidi" w:hint="default"/>
      </w:rPr>
    </w:lvl>
    <w:lvl w:ilvl="2" w:tplc="D9B0AD16" w:tentative="1">
      <w:start w:val="1"/>
      <w:numFmt w:val="bullet"/>
      <w:lvlText w:val=""/>
      <w:lvlJc w:val="left"/>
      <w:pPr>
        <w:ind w:left="2160" w:hanging="360"/>
      </w:pPr>
      <w:rPr>
        <w:rFonts w:ascii="Wingdings" w:hAnsi="Wingdings" w:hint="default"/>
      </w:rPr>
    </w:lvl>
    <w:lvl w:ilvl="3" w:tplc="CD7205CE" w:tentative="1">
      <w:start w:val="1"/>
      <w:numFmt w:val="bullet"/>
      <w:lvlText w:val=""/>
      <w:lvlJc w:val="left"/>
      <w:pPr>
        <w:ind w:left="2880" w:hanging="360"/>
      </w:pPr>
      <w:rPr>
        <w:rFonts w:ascii="Symbol" w:hAnsi="Symbol" w:hint="default"/>
      </w:rPr>
    </w:lvl>
    <w:lvl w:ilvl="4" w:tplc="F92A4F88" w:tentative="1">
      <w:start w:val="1"/>
      <w:numFmt w:val="bullet"/>
      <w:lvlText w:val="o"/>
      <w:lvlJc w:val="left"/>
      <w:pPr>
        <w:ind w:left="3600" w:hanging="360"/>
      </w:pPr>
      <w:rPr>
        <w:rFonts w:ascii="Courier New" w:hAnsi="Courier New" w:cs="Courier New" w:hint="default"/>
      </w:rPr>
    </w:lvl>
    <w:lvl w:ilvl="5" w:tplc="A5368D80" w:tentative="1">
      <w:start w:val="1"/>
      <w:numFmt w:val="bullet"/>
      <w:lvlText w:val=""/>
      <w:lvlJc w:val="left"/>
      <w:pPr>
        <w:ind w:left="4320" w:hanging="360"/>
      </w:pPr>
      <w:rPr>
        <w:rFonts w:ascii="Wingdings" w:hAnsi="Wingdings" w:hint="default"/>
      </w:rPr>
    </w:lvl>
    <w:lvl w:ilvl="6" w:tplc="135CF22E" w:tentative="1">
      <w:start w:val="1"/>
      <w:numFmt w:val="bullet"/>
      <w:lvlText w:val=""/>
      <w:lvlJc w:val="left"/>
      <w:pPr>
        <w:ind w:left="5040" w:hanging="360"/>
      </w:pPr>
      <w:rPr>
        <w:rFonts w:ascii="Symbol" w:hAnsi="Symbol" w:hint="default"/>
      </w:rPr>
    </w:lvl>
    <w:lvl w:ilvl="7" w:tplc="852A3EF2" w:tentative="1">
      <w:start w:val="1"/>
      <w:numFmt w:val="bullet"/>
      <w:lvlText w:val="o"/>
      <w:lvlJc w:val="left"/>
      <w:pPr>
        <w:ind w:left="5760" w:hanging="360"/>
      </w:pPr>
      <w:rPr>
        <w:rFonts w:ascii="Courier New" w:hAnsi="Courier New" w:cs="Courier New" w:hint="default"/>
      </w:rPr>
    </w:lvl>
    <w:lvl w:ilvl="8" w:tplc="3CE0EA88" w:tentative="1">
      <w:start w:val="1"/>
      <w:numFmt w:val="bullet"/>
      <w:lvlText w:val=""/>
      <w:lvlJc w:val="left"/>
      <w:pPr>
        <w:ind w:left="6480" w:hanging="360"/>
      </w:pPr>
      <w:rPr>
        <w:rFonts w:ascii="Wingdings" w:hAnsi="Wingdings" w:hint="default"/>
      </w:rPr>
    </w:lvl>
  </w:abstractNum>
  <w:abstractNum w:abstractNumId="38" w15:restartNumberingAfterBreak="0">
    <w:nsid w:val="7AD3468A"/>
    <w:multiLevelType w:val="hybridMultilevel"/>
    <w:tmpl w:val="A3EC31C2"/>
    <w:lvl w:ilvl="0" w:tplc="36D61402">
      <w:start w:val="1"/>
      <w:numFmt w:val="bullet"/>
      <w:lvlText w:val=""/>
      <w:lvlJc w:val="left"/>
      <w:pPr>
        <w:ind w:left="720" w:hanging="360"/>
      </w:pPr>
      <w:rPr>
        <w:rFonts w:ascii="Symbol" w:hAnsi="Symbol" w:hint="default"/>
      </w:rPr>
    </w:lvl>
    <w:lvl w:ilvl="1" w:tplc="0CE40A10" w:tentative="1">
      <w:start w:val="1"/>
      <w:numFmt w:val="bullet"/>
      <w:lvlText w:val="o"/>
      <w:lvlJc w:val="left"/>
      <w:pPr>
        <w:ind w:left="1440" w:hanging="360"/>
      </w:pPr>
      <w:rPr>
        <w:rFonts w:ascii="Courier New" w:hAnsi="Courier New" w:cs="Courier New" w:hint="default"/>
      </w:rPr>
    </w:lvl>
    <w:lvl w:ilvl="2" w:tplc="498C13E4" w:tentative="1">
      <w:start w:val="1"/>
      <w:numFmt w:val="bullet"/>
      <w:lvlText w:val=""/>
      <w:lvlJc w:val="left"/>
      <w:pPr>
        <w:ind w:left="2160" w:hanging="360"/>
      </w:pPr>
      <w:rPr>
        <w:rFonts w:ascii="Wingdings" w:hAnsi="Wingdings" w:hint="default"/>
      </w:rPr>
    </w:lvl>
    <w:lvl w:ilvl="3" w:tplc="5A8E76D0" w:tentative="1">
      <w:start w:val="1"/>
      <w:numFmt w:val="bullet"/>
      <w:lvlText w:val=""/>
      <w:lvlJc w:val="left"/>
      <w:pPr>
        <w:ind w:left="2880" w:hanging="360"/>
      </w:pPr>
      <w:rPr>
        <w:rFonts w:ascii="Symbol" w:hAnsi="Symbol" w:hint="default"/>
      </w:rPr>
    </w:lvl>
    <w:lvl w:ilvl="4" w:tplc="786E96BC" w:tentative="1">
      <w:start w:val="1"/>
      <w:numFmt w:val="bullet"/>
      <w:lvlText w:val="o"/>
      <w:lvlJc w:val="left"/>
      <w:pPr>
        <w:ind w:left="3600" w:hanging="360"/>
      </w:pPr>
      <w:rPr>
        <w:rFonts w:ascii="Courier New" w:hAnsi="Courier New" w:cs="Courier New" w:hint="default"/>
      </w:rPr>
    </w:lvl>
    <w:lvl w:ilvl="5" w:tplc="316A1EF0" w:tentative="1">
      <w:start w:val="1"/>
      <w:numFmt w:val="bullet"/>
      <w:lvlText w:val=""/>
      <w:lvlJc w:val="left"/>
      <w:pPr>
        <w:ind w:left="4320" w:hanging="360"/>
      </w:pPr>
      <w:rPr>
        <w:rFonts w:ascii="Wingdings" w:hAnsi="Wingdings" w:hint="default"/>
      </w:rPr>
    </w:lvl>
    <w:lvl w:ilvl="6" w:tplc="4CF6DC7C" w:tentative="1">
      <w:start w:val="1"/>
      <w:numFmt w:val="bullet"/>
      <w:lvlText w:val=""/>
      <w:lvlJc w:val="left"/>
      <w:pPr>
        <w:ind w:left="5040" w:hanging="360"/>
      </w:pPr>
      <w:rPr>
        <w:rFonts w:ascii="Symbol" w:hAnsi="Symbol" w:hint="default"/>
      </w:rPr>
    </w:lvl>
    <w:lvl w:ilvl="7" w:tplc="07E8D106" w:tentative="1">
      <w:start w:val="1"/>
      <w:numFmt w:val="bullet"/>
      <w:lvlText w:val="o"/>
      <w:lvlJc w:val="left"/>
      <w:pPr>
        <w:ind w:left="5760" w:hanging="360"/>
      </w:pPr>
      <w:rPr>
        <w:rFonts w:ascii="Courier New" w:hAnsi="Courier New" w:cs="Courier New" w:hint="default"/>
      </w:rPr>
    </w:lvl>
    <w:lvl w:ilvl="8" w:tplc="9334D532" w:tentative="1">
      <w:start w:val="1"/>
      <w:numFmt w:val="bullet"/>
      <w:lvlText w:val=""/>
      <w:lvlJc w:val="left"/>
      <w:pPr>
        <w:ind w:left="6480" w:hanging="360"/>
      </w:pPr>
      <w:rPr>
        <w:rFonts w:ascii="Wingdings" w:hAnsi="Wingdings" w:hint="default"/>
      </w:rPr>
    </w:lvl>
  </w:abstractNum>
  <w:abstractNum w:abstractNumId="39" w15:restartNumberingAfterBreak="0">
    <w:nsid w:val="7AEE4F2C"/>
    <w:multiLevelType w:val="hybridMultilevel"/>
    <w:tmpl w:val="31166C82"/>
    <w:lvl w:ilvl="0" w:tplc="70C265C6">
      <w:start w:val="1"/>
      <w:numFmt w:val="bullet"/>
      <w:lvlText w:val=""/>
      <w:lvlJc w:val="left"/>
      <w:pPr>
        <w:ind w:left="720" w:hanging="360"/>
      </w:pPr>
      <w:rPr>
        <w:rFonts w:ascii="Symbol" w:hAnsi="Symbol" w:hint="default"/>
      </w:rPr>
    </w:lvl>
    <w:lvl w:ilvl="1" w:tplc="F0B4C0D8" w:tentative="1">
      <w:start w:val="1"/>
      <w:numFmt w:val="bullet"/>
      <w:lvlText w:val="o"/>
      <w:lvlJc w:val="left"/>
      <w:pPr>
        <w:ind w:left="1440" w:hanging="360"/>
      </w:pPr>
      <w:rPr>
        <w:rFonts w:ascii="Courier New" w:hAnsi="Courier New" w:cs="Courier New" w:hint="default"/>
      </w:rPr>
    </w:lvl>
    <w:lvl w:ilvl="2" w:tplc="BD3413FE" w:tentative="1">
      <w:start w:val="1"/>
      <w:numFmt w:val="bullet"/>
      <w:lvlText w:val=""/>
      <w:lvlJc w:val="left"/>
      <w:pPr>
        <w:ind w:left="2160" w:hanging="360"/>
      </w:pPr>
      <w:rPr>
        <w:rFonts w:ascii="Wingdings" w:hAnsi="Wingdings" w:hint="default"/>
      </w:rPr>
    </w:lvl>
    <w:lvl w:ilvl="3" w:tplc="3E7C8E66" w:tentative="1">
      <w:start w:val="1"/>
      <w:numFmt w:val="bullet"/>
      <w:lvlText w:val=""/>
      <w:lvlJc w:val="left"/>
      <w:pPr>
        <w:ind w:left="2880" w:hanging="360"/>
      </w:pPr>
      <w:rPr>
        <w:rFonts w:ascii="Symbol" w:hAnsi="Symbol" w:hint="default"/>
      </w:rPr>
    </w:lvl>
    <w:lvl w:ilvl="4" w:tplc="79484FF2" w:tentative="1">
      <w:start w:val="1"/>
      <w:numFmt w:val="bullet"/>
      <w:lvlText w:val="o"/>
      <w:lvlJc w:val="left"/>
      <w:pPr>
        <w:ind w:left="3600" w:hanging="360"/>
      </w:pPr>
      <w:rPr>
        <w:rFonts w:ascii="Courier New" w:hAnsi="Courier New" w:cs="Courier New" w:hint="default"/>
      </w:rPr>
    </w:lvl>
    <w:lvl w:ilvl="5" w:tplc="772E9FE6" w:tentative="1">
      <w:start w:val="1"/>
      <w:numFmt w:val="bullet"/>
      <w:lvlText w:val=""/>
      <w:lvlJc w:val="left"/>
      <w:pPr>
        <w:ind w:left="4320" w:hanging="360"/>
      </w:pPr>
      <w:rPr>
        <w:rFonts w:ascii="Wingdings" w:hAnsi="Wingdings" w:hint="default"/>
      </w:rPr>
    </w:lvl>
    <w:lvl w:ilvl="6" w:tplc="E94CAAE6" w:tentative="1">
      <w:start w:val="1"/>
      <w:numFmt w:val="bullet"/>
      <w:lvlText w:val=""/>
      <w:lvlJc w:val="left"/>
      <w:pPr>
        <w:ind w:left="5040" w:hanging="360"/>
      </w:pPr>
      <w:rPr>
        <w:rFonts w:ascii="Symbol" w:hAnsi="Symbol" w:hint="default"/>
      </w:rPr>
    </w:lvl>
    <w:lvl w:ilvl="7" w:tplc="EB1E6A7C" w:tentative="1">
      <w:start w:val="1"/>
      <w:numFmt w:val="bullet"/>
      <w:lvlText w:val="o"/>
      <w:lvlJc w:val="left"/>
      <w:pPr>
        <w:ind w:left="5760" w:hanging="360"/>
      </w:pPr>
      <w:rPr>
        <w:rFonts w:ascii="Courier New" w:hAnsi="Courier New" w:cs="Courier New" w:hint="default"/>
      </w:rPr>
    </w:lvl>
    <w:lvl w:ilvl="8" w:tplc="87B492F2" w:tentative="1">
      <w:start w:val="1"/>
      <w:numFmt w:val="bullet"/>
      <w:lvlText w:val=""/>
      <w:lvlJc w:val="left"/>
      <w:pPr>
        <w:ind w:left="6480" w:hanging="360"/>
      </w:pPr>
      <w:rPr>
        <w:rFonts w:ascii="Wingdings" w:hAnsi="Wingdings" w:hint="default"/>
      </w:rPr>
    </w:lvl>
  </w:abstractNum>
  <w:num w:numId="1" w16cid:durableId="1799376516">
    <w:abstractNumId w:val="2"/>
  </w:num>
  <w:num w:numId="2" w16cid:durableId="1358043957">
    <w:abstractNumId w:val="26"/>
  </w:num>
  <w:num w:numId="3" w16cid:durableId="1276017142">
    <w:abstractNumId w:val="24"/>
  </w:num>
  <w:num w:numId="4" w16cid:durableId="544492643">
    <w:abstractNumId w:val="6"/>
  </w:num>
  <w:num w:numId="5" w16cid:durableId="2050909758">
    <w:abstractNumId w:val="33"/>
  </w:num>
  <w:num w:numId="6" w16cid:durableId="1974604224">
    <w:abstractNumId w:val="20"/>
  </w:num>
  <w:num w:numId="7" w16cid:durableId="1350524098">
    <w:abstractNumId w:val="15"/>
  </w:num>
  <w:num w:numId="8" w16cid:durableId="1426850954">
    <w:abstractNumId w:val="16"/>
  </w:num>
  <w:num w:numId="9" w16cid:durableId="275215482">
    <w:abstractNumId w:val="3"/>
  </w:num>
  <w:num w:numId="10" w16cid:durableId="1673491529">
    <w:abstractNumId w:val="22"/>
  </w:num>
  <w:num w:numId="11" w16cid:durableId="2129398519">
    <w:abstractNumId w:val="18"/>
  </w:num>
  <w:num w:numId="12" w16cid:durableId="1103571275">
    <w:abstractNumId w:val="31"/>
  </w:num>
  <w:num w:numId="13" w16cid:durableId="1936401157">
    <w:abstractNumId w:val="32"/>
  </w:num>
  <w:num w:numId="14" w16cid:durableId="1793665303">
    <w:abstractNumId w:val="23"/>
  </w:num>
  <w:num w:numId="15" w16cid:durableId="115955309">
    <w:abstractNumId w:val="19"/>
  </w:num>
  <w:num w:numId="16" w16cid:durableId="160704354">
    <w:abstractNumId w:val="38"/>
  </w:num>
  <w:num w:numId="17" w16cid:durableId="1179736527">
    <w:abstractNumId w:val="17"/>
  </w:num>
  <w:num w:numId="18" w16cid:durableId="510339586">
    <w:abstractNumId w:val="0"/>
  </w:num>
  <w:num w:numId="19" w16cid:durableId="43871832">
    <w:abstractNumId w:val="21"/>
  </w:num>
  <w:num w:numId="20" w16cid:durableId="185414627">
    <w:abstractNumId w:val="35"/>
  </w:num>
  <w:num w:numId="21" w16cid:durableId="1097558643">
    <w:abstractNumId w:val="36"/>
  </w:num>
  <w:num w:numId="22" w16cid:durableId="787511573">
    <w:abstractNumId w:val="8"/>
  </w:num>
  <w:num w:numId="23" w16cid:durableId="1293561686">
    <w:abstractNumId w:val="39"/>
  </w:num>
  <w:num w:numId="24" w16cid:durableId="1100955827">
    <w:abstractNumId w:val="1"/>
  </w:num>
  <w:num w:numId="25" w16cid:durableId="13578013">
    <w:abstractNumId w:val="25"/>
  </w:num>
  <w:num w:numId="26" w16cid:durableId="1501772608">
    <w:abstractNumId w:val="11"/>
  </w:num>
  <w:num w:numId="27" w16cid:durableId="454951157">
    <w:abstractNumId w:val="14"/>
  </w:num>
  <w:num w:numId="28" w16cid:durableId="631712599">
    <w:abstractNumId w:val="34"/>
  </w:num>
  <w:num w:numId="29" w16cid:durableId="1352217712">
    <w:abstractNumId w:val="12"/>
  </w:num>
  <w:num w:numId="30" w16cid:durableId="487593239">
    <w:abstractNumId w:val="5"/>
  </w:num>
  <w:num w:numId="31" w16cid:durableId="2124691608">
    <w:abstractNumId w:val="29"/>
  </w:num>
  <w:num w:numId="32" w16cid:durableId="1344745147">
    <w:abstractNumId w:val="7"/>
  </w:num>
  <w:num w:numId="33" w16cid:durableId="1834488284">
    <w:abstractNumId w:val="27"/>
  </w:num>
  <w:num w:numId="34" w16cid:durableId="1710648901">
    <w:abstractNumId w:val="37"/>
  </w:num>
  <w:num w:numId="35" w16cid:durableId="1344624412">
    <w:abstractNumId w:val="13"/>
  </w:num>
  <w:num w:numId="36" w16cid:durableId="623462317">
    <w:abstractNumId w:val="28"/>
  </w:num>
  <w:num w:numId="37" w16cid:durableId="177738771">
    <w:abstractNumId w:val="10"/>
  </w:num>
  <w:num w:numId="38" w16cid:durableId="1573931353">
    <w:abstractNumId w:val="9"/>
  </w:num>
  <w:num w:numId="39" w16cid:durableId="399443794">
    <w:abstractNumId w:val="4"/>
  </w:num>
  <w:num w:numId="40" w16cid:durableId="29440926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F9C"/>
    <w:rsid w:val="00000255"/>
    <w:rsid w:val="0000050E"/>
    <w:rsid w:val="00000B26"/>
    <w:rsid w:val="00000B43"/>
    <w:rsid w:val="00000C53"/>
    <w:rsid w:val="00000D1B"/>
    <w:rsid w:val="00001477"/>
    <w:rsid w:val="00001896"/>
    <w:rsid w:val="00001A84"/>
    <w:rsid w:val="00001CAF"/>
    <w:rsid w:val="00001CF3"/>
    <w:rsid w:val="000023D9"/>
    <w:rsid w:val="00002A93"/>
    <w:rsid w:val="000032EB"/>
    <w:rsid w:val="00003718"/>
    <w:rsid w:val="00003BED"/>
    <w:rsid w:val="0000425F"/>
    <w:rsid w:val="00004530"/>
    <w:rsid w:val="00004AE9"/>
    <w:rsid w:val="00004B34"/>
    <w:rsid w:val="00004B54"/>
    <w:rsid w:val="00004CCD"/>
    <w:rsid w:val="00004D9B"/>
    <w:rsid w:val="00004E89"/>
    <w:rsid w:val="0000540C"/>
    <w:rsid w:val="00005418"/>
    <w:rsid w:val="00005721"/>
    <w:rsid w:val="00005ABB"/>
    <w:rsid w:val="00005CB1"/>
    <w:rsid w:val="0000640D"/>
    <w:rsid w:val="00006953"/>
    <w:rsid w:val="000073AA"/>
    <w:rsid w:val="00007BBA"/>
    <w:rsid w:val="000103A1"/>
    <w:rsid w:val="00010967"/>
    <w:rsid w:val="00010C33"/>
    <w:rsid w:val="00010F00"/>
    <w:rsid w:val="00010F08"/>
    <w:rsid w:val="00011A63"/>
    <w:rsid w:val="00012246"/>
    <w:rsid w:val="000124E6"/>
    <w:rsid w:val="00012629"/>
    <w:rsid w:val="0001284E"/>
    <w:rsid w:val="00012F53"/>
    <w:rsid w:val="0001357C"/>
    <w:rsid w:val="00013AF8"/>
    <w:rsid w:val="00014099"/>
    <w:rsid w:val="00014280"/>
    <w:rsid w:val="000145A1"/>
    <w:rsid w:val="00014E84"/>
    <w:rsid w:val="000156C8"/>
    <w:rsid w:val="000157A8"/>
    <w:rsid w:val="00015835"/>
    <w:rsid w:val="00015E6F"/>
    <w:rsid w:val="00015F76"/>
    <w:rsid w:val="00016073"/>
    <w:rsid w:val="0001648C"/>
    <w:rsid w:val="000164FB"/>
    <w:rsid w:val="00016B4B"/>
    <w:rsid w:val="00016CE0"/>
    <w:rsid w:val="000174A7"/>
    <w:rsid w:val="00017E37"/>
    <w:rsid w:val="0002003B"/>
    <w:rsid w:val="0002037E"/>
    <w:rsid w:val="00020B35"/>
    <w:rsid w:val="00020EB1"/>
    <w:rsid w:val="00020FCF"/>
    <w:rsid w:val="0002104C"/>
    <w:rsid w:val="0002106B"/>
    <w:rsid w:val="000216AC"/>
    <w:rsid w:val="0002174A"/>
    <w:rsid w:val="00021A46"/>
    <w:rsid w:val="00021CF7"/>
    <w:rsid w:val="00021DF0"/>
    <w:rsid w:val="00021E97"/>
    <w:rsid w:val="00022272"/>
    <w:rsid w:val="00022427"/>
    <w:rsid w:val="000224B8"/>
    <w:rsid w:val="00022598"/>
    <w:rsid w:val="00022B3D"/>
    <w:rsid w:val="00022CED"/>
    <w:rsid w:val="00022FB5"/>
    <w:rsid w:val="00023299"/>
    <w:rsid w:val="00023A75"/>
    <w:rsid w:val="00023B7E"/>
    <w:rsid w:val="0002401F"/>
    <w:rsid w:val="000244DD"/>
    <w:rsid w:val="0002456F"/>
    <w:rsid w:val="00024978"/>
    <w:rsid w:val="000249EA"/>
    <w:rsid w:val="00025134"/>
    <w:rsid w:val="000252BE"/>
    <w:rsid w:val="00025444"/>
    <w:rsid w:val="00025F74"/>
    <w:rsid w:val="0002643A"/>
    <w:rsid w:val="0002666F"/>
    <w:rsid w:val="00026DC8"/>
    <w:rsid w:val="000272EF"/>
    <w:rsid w:val="000275AE"/>
    <w:rsid w:val="0002765F"/>
    <w:rsid w:val="0002774A"/>
    <w:rsid w:val="00027AF9"/>
    <w:rsid w:val="00027C82"/>
    <w:rsid w:val="00027D5E"/>
    <w:rsid w:val="00030150"/>
    <w:rsid w:val="000306ED"/>
    <w:rsid w:val="00030B3C"/>
    <w:rsid w:val="0003125B"/>
    <w:rsid w:val="00031489"/>
    <w:rsid w:val="00031789"/>
    <w:rsid w:val="00031ACF"/>
    <w:rsid w:val="000320E2"/>
    <w:rsid w:val="0003273F"/>
    <w:rsid w:val="0003297C"/>
    <w:rsid w:val="000329F5"/>
    <w:rsid w:val="00032B38"/>
    <w:rsid w:val="00032D04"/>
    <w:rsid w:val="00033402"/>
    <w:rsid w:val="000337FF"/>
    <w:rsid w:val="00033E02"/>
    <w:rsid w:val="00033FE8"/>
    <w:rsid w:val="000342D6"/>
    <w:rsid w:val="000347E8"/>
    <w:rsid w:val="00034947"/>
    <w:rsid w:val="00034C2E"/>
    <w:rsid w:val="00034D76"/>
    <w:rsid w:val="00034E0A"/>
    <w:rsid w:val="000353B0"/>
    <w:rsid w:val="0003545F"/>
    <w:rsid w:val="00035EA6"/>
    <w:rsid w:val="00035EF1"/>
    <w:rsid w:val="000367A1"/>
    <w:rsid w:val="0003690E"/>
    <w:rsid w:val="00036A9A"/>
    <w:rsid w:val="00036F3C"/>
    <w:rsid w:val="000374F1"/>
    <w:rsid w:val="00037D33"/>
    <w:rsid w:val="00037D61"/>
    <w:rsid w:val="00037F5E"/>
    <w:rsid w:val="00040036"/>
    <w:rsid w:val="000406CA"/>
    <w:rsid w:val="000408C2"/>
    <w:rsid w:val="0004113B"/>
    <w:rsid w:val="00041180"/>
    <w:rsid w:val="000413D5"/>
    <w:rsid w:val="00041A7E"/>
    <w:rsid w:val="00041CD1"/>
    <w:rsid w:val="00041E62"/>
    <w:rsid w:val="00041E74"/>
    <w:rsid w:val="0004246A"/>
    <w:rsid w:val="000426AA"/>
    <w:rsid w:val="000428BF"/>
    <w:rsid w:val="00042B55"/>
    <w:rsid w:val="00042CA5"/>
    <w:rsid w:val="00042CAC"/>
    <w:rsid w:val="00043087"/>
    <w:rsid w:val="000430EE"/>
    <w:rsid w:val="0004312C"/>
    <w:rsid w:val="00043910"/>
    <w:rsid w:val="00043A10"/>
    <w:rsid w:val="00043FEF"/>
    <w:rsid w:val="00044571"/>
    <w:rsid w:val="00044B4F"/>
    <w:rsid w:val="00044E0E"/>
    <w:rsid w:val="00044E81"/>
    <w:rsid w:val="00045630"/>
    <w:rsid w:val="00045905"/>
    <w:rsid w:val="00045B8F"/>
    <w:rsid w:val="00046C82"/>
    <w:rsid w:val="00046F03"/>
    <w:rsid w:val="00046F85"/>
    <w:rsid w:val="00047148"/>
    <w:rsid w:val="00047221"/>
    <w:rsid w:val="00047505"/>
    <w:rsid w:val="00047670"/>
    <w:rsid w:val="000476C7"/>
    <w:rsid w:val="00047895"/>
    <w:rsid w:val="00047BC5"/>
    <w:rsid w:val="00047EE5"/>
    <w:rsid w:val="0005076B"/>
    <w:rsid w:val="00050868"/>
    <w:rsid w:val="00050E7E"/>
    <w:rsid w:val="0005118E"/>
    <w:rsid w:val="0005126F"/>
    <w:rsid w:val="00051F12"/>
    <w:rsid w:val="0005201B"/>
    <w:rsid w:val="00052064"/>
    <w:rsid w:val="000529B5"/>
    <w:rsid w:val="00052E3E"/>
    <w:rsid w:val="0005303A"/>
    <w:rsid w:val="00053809"/>
    <w:rsid w:val="00053933"/>
    <w:rsid w:val="0005406F"/>
    <w:rsid w:val="000544B7"/>
    <w:rsid w:val="000544D3"/>
    <w:rsid w:val="0005467D"/>
    <w:rsid w:val="00054A13"/>
    <w:rsid w:val="00054EF9"/>
    <w:rsid w:val="00055053"/>
    <w:rsid w:val="00055272"/>
    <w:rsid w:val="00055B2D"/>
    <w:rsid w:val="00055DE4"/>
    <w:rsid w:val="000560FC"/>
    <w:rsid w:val="000562AD"/>
    <w:rsid w:val="000563C9"/>
    <w:rsid w:val="00056547"/>
    <w:rsid w:val="00056C7B"/>
    <w:rsid w:val="00057566"/>
    <w:rsid w:val="000576B8"/>
    <w:rsid w:val="0005778C"/>
    <w:rsid w:val="0006019D"/>
    <w:rsid w:val="000601C4"/>
    <w:rsid w:val="00060467"/>
    <w:rsid w:val="00060519"/>
    <w:rsid w:val="0006090A"/>
    <w:rsid w:val="00060B57"/>
    <w:rsid w:val="00060E3A"/>
    <w:rsid w:val="000612ED"/>
    <w:rsid w:val="00061740"/>
    <w:rsid w:val="000617DC"/>
    <w:rsid w:val="00061A6A"/>
    <w:rsid w:val="00061D00"/>
    <w:rsid w:val="00061FB5"/>
    <w:rsid w:val="00062007"/>
    <w:rsid w:val="0006218D"/>
    <w:rsid w:val="000624D3"/>
    <w:rsid w:val="0006286C"/>
    <w:rsid w:val="00062A99"/>
    <w:rsid w:val="00062FD5"/>
    <w:rsid w:val="000632A4"/>
    <w:rsid w:val="0006336E"/>
    <w:rsid w:val="000634E9"/>
    <w:rsid w:val="0006489F"/>
    <w:rsid w:val="000648DF"/>
    <w:rsid w:val="00064A94"/>
    <w:rsid w:val="00064DC7"/>
    <w:rsid w:val="00064E46"/>
    <w:rsid w:val="00065057"/>
    <w:rsid w:val="000653B5"/>
    <w:rsid w:val="00065470"/>
    <w:rsid w:val="00065BA8"/>
    <w:rsid w:val="00065D26"/>
    <w:rsid w:val="00065D9F"/>
    <w:rsid w:val="000660FB"/>
    <w:rsid w:val="00066927"/>
    <w:rsid w:val="00066BC3"/>
    <w:rsid w:val="00066D1D"/>
    <w:rsid w:val="00067E52"/>
    <w:rsid w:val="000702F8"/>
    <w:rsid w:val="0007037E"/>
    <w:rsid w:val="00070B45"/>
    <w:rsid w:val="00070EDF"/>
    <w:rsid w:val="00070F97"/>
    <w:rsid w:val="00071362"/>
    <w:rsid w:val="00071503"/>
    <w:rsid w:val="00071513"/>
    <w:rsid w:val="000725BE"/>
    <w:rsid w:val="00072721"/>
    <w:rsid w:val="0007285D"/>
    <w:rsid w:val="00072C0D"/>
    <w:rsid w:val="00072CC3"/>
    <w:rsid w:val="00072DA1"/>
    <w:rsid w:val="000732BE"/>
    <w:rsid w:val="0007336E"/>
    <w:rsid w:val="00073787"/>
    <w:rsid w:val="00073829"/>
    <w:rsid w:val="0007413D"/>
    <w:rsid w:val="0007425A"/>
    <w:rsid w:val="00074A33"/>
    <w:rsid w:val="00074B52"/>
    <w:rsid w:val="000752E7"/>
    <w:rsid w:val="000752EF"/>
    <w:rsid w:val="00075583"/>
    <w:rsid w:val="00075700"/>
    <w:rsid w:val="00075907"/>
    <w:rsid w:val="00075A79"/>
    <w:rsid w:val="00075C8A"/>
    <w:rsid w:val="00075F9D"/>
    <w:rsid w:val="00076464"/>
    <w:rsid w:val="00076620"/>
    <w:rsid w:val="00076816"/>
    <w:rsid w:val="00076F16"/>
    <w:rsid w:val="00077395"/>
    <w:rsid w:val="00077778"/>
    <w:rsid w:val="00077860"/>
    <w:rsid w:val="0007791F"/>
    <w:rsid w:val="00077A4A"/>
    <w:rsid w:val="00077D81"/>
    <w:rsid w:val="00077EEF"/>
    <w:rsid w:val="0008003E"/>
    <w:rsid w:val="00080507"/>
    <w:rsid w:val="00080747"/>
    <w:rsid w:val="00080930"/>
    <w:rsid w:val="00080DA5"/>
    <w:rsid w:val="00080DDB"/>
    <w:rsid w:val="00080EFF"/>
    <w:rsid w:val="00081196"/>
    <w:rsid w:val="0008144E"/>
    <w:rsid w:val="00081455"/>
    <w:rsid w:val="00081C73"/>
    <w:rsid w:val="00081E36"/>
    <w:rsid w:val="00082F74"/>
    <w:rsid w:val="00083353"/>
    <w:rsid w:val="000834DE"/>
    <w:rsid w:val="00083780"/>
    <w:rsid w:val="00083C41"/>
    <w:rsid w:val="00083F40"/>
    <w:rsid w:val="000845E2"/>
    <w:rsid w:val="000846B4"/>
    <w:rsid w:val="00085A7D"/>
    <w:rsid w:val="00085CAD"/>
    <w:rsid w:val="00085D35"/>
    <w:rsid w:val="00085E65"/>
    <w:rsid w:val="000861DC"/>
    <w:rsid w:val="00086466"/>
    <w:rsid w:val="00086AA3"/>
    <w:rsid w:val="00086E41"/>
    <w:rsid w:val="00086F0E"/>
    <w:rsid w:val="00086FF5"/>
    <w:rsid w:val="000871D6"/>
    <w:rsid w:val="00087BDC"/>
    <w:rsid w:val="00087D47"/>
    <w:rsid w:val="00087E60"/>
    <w:rsid w:val="0009046D"/>
    <w:rsid w:val="000908EF"/>
    <w:rsid w:val="0009094E"/>
    <w:rsid w:val="00090CB5"/>
    <w:rsid w:val="000911EA"/>
    <w:rsid w:val="00091838"/>
    <w:rsid w:val="00091859"/>
    <w:rsid w:val="0009189B"/>
    <w:rsid w:val="00091907"/>
    <w:rsid w:val="000919D2"/>
    <w:rsid w:val="00091B23"/>
    <w:rsid w:val="00091CD5"/>
    <w:rsid w:val="00091FF7"/>
    <w:rsid w:val="000922EB"/>
    <w:rsid w:val="0009252D"/>
    <w:rsid w:val="00092F5A"/>
    <w:rsid w:val="00093688"/>
    <w:rsid w:val="000939AB"/>
    <w:rsid w:val="000939E0"/>
    <w:rsid w:val="00093F46"/>
    <w:rsid w:val="00094342"/>
    <w:rsid w:val="00094689"/>
    <w:rsid w:val="000947A7"/>
    <w:rsid w:val="00095409"/>
    <w:rsid w:val="0009547E"/>
    <w:rsid w:val="0009554F"/>
    <w:rsid w:val="00095CE8"/>
    <w:rsid w:val="00095F51"/>
    <w:rsid w:val="00095F6A"/>
    <w:rsid w:val="00095F89"/>
    <w:rsid w:val="00096538"/>
    <w:rsid w:val="00096868"/>
    <w:rsid w:val="00096AA0"/>
    <w:rsid w:val="00097A71"/>
    <w:rsid w:val="00097DC6"/>
    <w:rsid w:val="00097E73"/>
    <w:rsid w:val="000A01AE"/>
    <w:rsid w:val="000A0B4E"/>
    <w:rsid w:val="000A0E65"/>
    <w:rsid w:val="000A0F3F"/>
    <w:rsid w:val="000A15BC"/>
    <w:rsid w:val="000A15F9"/>
    <w:rsid w:val="000A1888"/>
    <w:rsid w:val="000A1D2C"/>
    <w:rsid w:val="000A2026"/>
    <w:rsid w:val="000A24A2"/>
    <w:rsid w:val="000A26DE"/>
    <w:rsid w:val="000A29CB"/>
    <w:rsid w:val="000A2A7C"/>
    <w:rsid w:val="000A2B3D"/>
    <w:rsid w:val="000A2BF4"/>
    <w:rsid w:val="000A2EE7"/>
    <w:rsid w:val="000A2F95"/>
    <w:rsid w:val="000A2FEF"/>
    <w:rsid w:val="000A316E"/>
    <w:rsid w:val="000A3242"/>
    <w:rsid w:val="000A33FE"/>
    <w:rsid w:val="000A3CDD"/>
    <w:rsid w:val="000A3E59"/>
    <w:rsid w:val="000A46A9"/>
    <w:rsid w:val="000A4B99"/>
    <w:rsid w:val="000A565B"/>
    <w:rsid w:val="000A56BA"/>
    <w:rsid w:val="000A6884"/>
    <w:rsid w:val="000A689B"/>
    <w:rsid w:val="000A6D07"/>
    <w:rsid w:val="000A6E77"/>
    <w:rsid w:val="000A7045"/>
    <w:rsid w:val="000A7785"/>
    <w:rsid w:val="000A7A81"/>
    <w:rsid w:val="000A7E3B"/>
    <w:rsid w:val="000A7E9A"/>
    <w:rsid w:val="000B0A78"/>
    <w:rsid w:val="000B0EFB"/>
    <w:rsid w:val="000B101B"/>
    <w:rsid w:val="000B113A"/>
    <w:rsid w:val="000B1470"/>
    <w:rsid w:val="000B1BAD"/>
    <w:rsid w:val="000B1D80"/>
    <w:rsid w:val="000B22E1"/>
    <w:rsid w:val="000B24DA"/>
    <w:rsid w:val="000B2783"/>
    <w:rsid w:val="000B28AD"/>
    <w:rsid w:val="000B29D7"/>
    <w:rsid w:val="000B2E88"/>
    <w:rsid w:val="000B2FB2"/>
    <w:rsid w:val="000B340C"/>
    <w:rsid w:val="000B3AD7"/>
    <w:rsid w:val="000B3CC9"/>
    <w:rsid w:val="000B3D46"/>
    <w:rsid w:val="000B46AD"/>
    <w:rsid w:val="000B46D7"/>
    <w:rsid w:val="000B4A10"/>
    <w:rsid w:val="000B4C86"/>
    <w:rsid w:val="000B4FB2"/>
    <w:rsid w:val="000B5500"/>
    <w:rsid w:val="000B575B"/>
    <w:rsid w:val="000B5B99"/>
    <w:rsid w:val="000B5C14"/>
    <w:rsid w:val="000B5DDD"/>
    <w:rsid w:val="000B5F3D"/>
    <w:rsid w:val="000B5FA8"/>
    <w:rsid w:val="000B62ED"/>
    <w:rsid w:val="000B6336"/>
    <w:rsid w:val="000B698C"/>
    <w:rsid w:val="000B6D0E"/>
    <w:rsid w:val="000B6E24"/>
    <w:rsid w:val="000B730E"/>
    <w:rsid w:val="000B747F"/>
    <w:rsid w:val="000B7CD1"/>
    <w:rsid w:val="000C0788"/>
    <w:rsid w:val="000C0814"/>
    <w:rsid w:val="000C09D4"/>
    <w:rsid w:val="000C0B78"/>
    <w:rsid w:val="000C113C"/>
    <w:rsid w:val="000C150E"/>
    <w:rsid w:val="000C1757"/>
    <w:rsid w:val="000C18A1"/>
    <w:rsid w:val="000C1AD4"/>
    <w:rsid w:val="000C1D71"/>
    <w:rsid w:val="000C2268"/>
    <w:rsid w:val="000C24F6"/>
    <w:rsid w:val="000C2A72"/>
    <w:rsid w:val="000C2C1A"/>
    <w:rsid w:val="000C2D7D"/>
    <w:rsid w:val="000C367A"/>
    <w:rsid w:val="000C3699"/>
    <w:rsid w:val="000C39B7"/>
    <w:rsid w:val="000C3AEC"/>
    <w:rsid w:val="000C3B88"/>
    <w:rsid w:val="000C3D85"/>
    <w:rsid w:val="000C418E"/>
    <w:rsid w:val="000C437A"/>
    <w:rsid w:val="000C45A9"/>
    <w:rsid w:val="000C4AC5"/>
    <w:rsid w:val="000C4C54"/>
    <w:rsid w:val="000C4F7D"/>
    <w:rsid w:val="000C51E9"/>
    <w:rsid w:val="000C57DA"/>
    <w:rsid w:val="000C5875"/>
    <w:rsid w:val="000C6182"/>
    <w:rsid w:val="000C6AEE"/>
    <w:rsid w:val="000C6B5F"/>
    <w:rsid w:val="000C6C2E"/>
    <w:rsid w:val="000C7684"/>
    <w:rsid w:val="000C7855"/>
    <w:rsid w:val="000D019F"/>
    <w:rsid w:val="000D0241"/>
    <w:rsid w:val="000D05B5"/>
    <w:rsid w:val="000D05C7"/>
    <w:rsid w:val="000D0882"/>
    <w:rsid w:val="000D0A19"/>
    <w:rsid w:val="000D0EC9"/>
    <w:rsid w:val="000D16BE"/>
    <w:rsid w:val="000D16DD"/>
    <w:rsid w:val="000D1FCF"/>
    <w:rsid w:val="000D2362"/>
    <w:rsid w:val="000D2D01"/>
    <w:rsid w:val="000D2ED6"/>
    <w:rsid w:val="000D2F80"/>
    <w:rsid w:val="000D2FF7"/>
    <w:rsid w:val="000D3308"/>
    <w:rsid w:val="000D378C"/>
    <w:rsid w:val="000D3FEA"/>
    <w:rsid w:val="000D4484"/>
    <w:rsid w:val="000D4C81"/>
    <w:rsid w:val="000D4D6D"/>
    <w:rsid w:val="000D4D76"/>
    <w:rsid w:val="000D4F9E"/>
    <w:rsid w:val="000D504C"/>
    <w:rsid w:val="000D534D"/>
    <w:rsid w:val="000D54C7"/>
    <w:rsid w:val="000D553C"/>
    <w:rsid w:val="000D5723"/>
    <w:rsid w:val="000D5E7C"/>
    <w:rsid w:val="000D6247"/>
    <w:rsid w:val="000D63FC"/>
    <w:rsid w:val="000D6691"/>
    <w:rsid w:val="000D6766"/>
    <w:rsid w:val="000D6776"/>
    <w:rsid w:val="000D6D05"/>
    <w:rsid w:val="000D6F3B"/>
    <w:rsid w:val="000D7934"/>
    <w:rsid w:val="000D7BA3"/>
    <w:rsid w:val="000D7CC4"/>
    <w:rsid w:val="000E0822"/>
    <w:rsid w:val="000E0908"/>
    <w:rsid w:val="000E0A35"/>
    <w:rsid w:val="000E0C3C"/>
    <w:rsid w:val="000E1734"/>
    <w:rsid w:val="000E176C"/>
    <w:rsid w:val="000E17AC"/>
    <w:rsid w:val="000E1A53"/>
    <w:rsid w:val="000E208A"/>
    <w:rsid w:val="000E27DE"/>
    <w:rsid w:val="000E2C2A"/>
    <w:rsid w:val="000E2CEC"/>
    <w:rsid w:val="000E2D8A"/>
    <w:rsid w:val="000E2E08"/>
    <w:rsid w:val="000E2FBF"/>
    <w:rsid w:val="000E303E"/>
    <w:rsid w:val="000E331E"/>
    <w:rsid w:val="000E38EC"/>
    <w:rsid w:val="000E395E"/>
    <w:rsid w:val="000E3D7A"/>
    <w:rsid w:val="000E3DD9"/>
    <w:rsid w:val="000E4028"/>
    <w:rsid w:val="000E406C"/>
    <w:rsid w:val="000E419C"/>
    <w:rsid w:val="000E4917"/>
    <w:rsid w:val="000E4B86"/>
    <w:rsid w:val="000E4D88"/>
    <w:rsid w:val="000E4E42"/>
    <w:rsid w:val="000E50DC"/>
    <w:rsid w:val="000E533D"/>
    <w:rsid w:val="000E5408"/>
    <w:rsid w:val="000E549F"/>
    <w:rsid w:val="000E5541"/>
    <w:rsid w:val="000E5766"/>
    <w:rsid w:val="000E5799"/>
    <w:rsid w:val="000E579B"/>
    <w:rsid w:val="000E583D"/>
    <w:rsid w:val="000E58AE"/>
    <w:rsid w:val="000E5B89"/>
    <w:rsid w:val="000E5DC7"/>
    <w:rsid w:val="000E5F37"/>
    <w:rsid w:val="000E6058"/>
    <w:rsid w:val="000E623D"/>
    <w:rsid w:val="000E64EC"/>
    <w:rsid w:val="000E685E"/>
    <w:rsid w:val="000E68F7"/>
    <w:rsid w:val="000E69A6"/>
    <w:rsid w:val="000E6B4B"/>
    <w:rsid w:val="000E6E2B"/>
    <w:rsid w:val="000E70E0"/>
    <w:rsid w:val="000E7252"/>
    <w:rsid w:val="000E73E2"/>
    <w:rsid w:val="000E7428"/>
    <w:rsid w:val="000E7990"/>
    <w:rsid w:val="000E7A2C"/>
    <w:rsid w:val="000E7A2D"/>
    <w:rsid w:val="000E7B6B"/>
    <w:rsid w:val="000E7D71"/>
    <w:rsid w:val="000F018E"/>
    <w:rsid w:val="000F05CF"/>
    <w:rsid w:val="000F08F9"/>
    <w:rsid w:val="000F0CAA"/>
    <w:rsid w:val="000F11B6"/>
    <w:rsid w:val="000F1D9E"/>
    <w:rsid w:val="000F1E83"/>
    <w:rsid w:val="000F21A5"/>
    <w:rsid w:val="000F2268"/>
    <w:rsid w:val="000F24F8"/>
    <w:rsid w:val="000F2931"/>
    <w:rsid w:val="000F2D9F"/>
    <w:rsid w:val="000F333D"/>
    <w:rsid w:val="000F3A31"/>
    <w:rsid w:val="000F4270"/>
    <w:rsid w:val="000F47DD"/>
    <w:rsid w:val="000F4855"/>
    <w:rsid w:val="000F4949"/>
    <w:rsid w:val="000F4F22"/>
    <w:rsid w:val="000F4F82"/>
    <w:rsid w:val="000F52A4"/>
    <w:rsid w:val="000F53F5"/>
    <w:rsid w:val="000F556B"/>
    <w:rsid w:val="000F5710"/>
    <w:rsid w:val="000F5C4B"/>
    <w:rsid w:val="000F7183"/>
    <w:rsid w:val="000F784B"/>
    <w:rsid w:val="000F78C8"/>
    <w:rsid w:val="000F7C35"/>
    <w:rsid w:val="00100473"/>
    <w:rsid w:val="00100478"/>
    <w:rsid w:val="00100686"/>
    <w:rsid w:val="00101606"/>
    <w:rsid w:val="00101A2F"/>
    <w:rsid w:val="00101CE3"/>
    <w:rsid w:val="001023A7"/>
    <w:rsid w:val="001023E1"/>
    <w:rsid w:val="001028F0"/>
    <w:rsid w:val="00102A46"/>
    <w:rsid w:val="001034DC"/>
    <w:rsid w:val="001035E9"/>
    <w:rsid w:val="001035F7"/>
    <w:rsid w:val="001038E8"/>
    <w:rsid w:val="00103D29"/>
    <w:rsid w:val="00103EB5"/>
    <w:rsid w:val="001049C2"/>
    <w:rsid w:val="00104F71"/>
    <w:rsid w:val="00105063"/>
    <w:rsid w:val="00105159"/>
    <w:rsid w:val="001058DF"/>
    <w:rsid w:val="00105EC7"/>
    <w:rsid w:val="001069A2"/>
    <w:rsid w:val="00107CAD"/>
    <w:rsid w:val="001101FC"/>
    <w:rsid w:val="001106AF"/>
    <w:rsid w:val="001106CC"/>
    <w:rsid w:val="00110EA9"/>
    <w:rsid w:val="00111B82"/>
    <w:rsid w:val="00111C12"/>
    <w:rsid w:val="001120EE"/>
    <w:rsid w:val="0011224F"/>
    <w:rsid w:val="001122EF"/>
    <w:rsid w:val="00112642"/>
    <w:rsid w:val="00112790"/>
    <w:rsid w:val="001129D6"/>
    <w:rsid w:val="00112BF4"/>
    <w:rsid w:val="00113001"/>
    <w:rsid w:val="00113090"/>
    <w:rsid w:val="0011379B"/>
    <w:rsid w:val="001139CF"/>
    <w:rsid w:val="001142F3"/>
    <w:rsid w:val="001147F5"/>
    <w:rsid w:val="001148BD"/>
    <w:rsid w:val="00115174"/>
    <w:rsid w:val="00115229"/>
    <w:rsid w:val="00115601"/>
    <w:rsid w:val="00116043"/>
    <w:rsid w:val="0011607C"/>
    <w:rsid w:val="001165FF"/>
    <w:rsid w:val="0011685E"/>
    <w:rsid w:val="0011686E"/>
    <w:rsid w:val="001169E0"/>
    <w:rsid w:val="00116B37"/>
    <w:rsid w:val="001171BB"/>
    <w:rsid w:val="00120315"/>
    <w:rsid w:val="00120F8A"/>
    <w:rsid w:val="00121137"/>
    <w:rsid w:val="0012195D"/>
    <w:rsid w:val="00121994"/>
    <w:rsid w:val="00121B22"/>
    <w:rsid w:val="00122BD5"/>
    <w:rsid w:val="00122C6B"/>
    <w:rsid w:val="00123996"/>
    <w:rsid w:val="001241F8"/>
    <w:rsid w:val="001245C6"/>
    <w:rsid w:val="00124601"/>
    <w:rsid w:val="001248F1"/>
    <w:rsid w:val="00124CC0"/>
    <w:rsid w:val="00124D04"/>
    <w:rsid w:val="00124E53"/>
    <w:rsid w:val="00125AF9"/>
    <w:rsid w:val="00125B68"/>
    <w:rsid w:val="00126179"/>
    <w:rsid w:val="00126335"/>
    <w:rsid w:val="00126372"/>
    <w:rsid w:val="001264F8"/>
    <w:rsid w:val="00126625"/>
    <w:rsid w:val="0012665C"/>
    <w:rsid w:val="001268B8"/>
    <w:rsid w:val="00127204"/>
    <w:rsid w:val="0012778E"/>
    <w:rsid w:val="00127873"/>
    <w:rsid w:val="001278F8"/>
    <w:rsid w:val="00127900"/>
    <w:rsid w:val="00127966"/>
    <w:rsid w:val="00127ACE"/>
    <w:rsid w:val="0013008B"/>
    <w:rsid w:val="00130338"/>
    <w:rsid w:val="00130918"/>
    <w:rsid w:val="00130FDE"/>
    <w:rsid w:val="001313D8"/>
    <w:rsid w:val="00131875"/>
    <w:rsid w:val="00131C04"/>
    <w:rsid w:val="00131C50"/>
    <w:rsid w:val="00131F15"/>
    <w:rsid w:val="00131F4B"/>
    <w:rsid w:val="00132006"/>
    <w:rsid w:val="0013291B"/>
    <w:rsid w:val="00132E3B"/>
    <w:rsid w:val="00132F5A"/>
    <w:rsid w:val="00133431"/>
    <w:rsid w:val="0013365C"/>
    <w:rsid w:val="001336BC"/>
    <w:rsid w:val="001340C4"/>
    <w:rsid w:val="00134117"/>
    <w:rsid w:val="00134255"/>
    <w:rsid w:val="00134BAC"/>
    <w:rsid w:val="00134DD8"/>
    <w:rsid w:val="0013515D"/>
    <w:rsid w:val="00135B3A"/>
    <w:rsid w:val="00136149"/>
    <w:rsid w:val="0013620C"/>
    <w:rsid w:val="00136B42"/>
    <w:rsid w:val="00136C78"/>
    <w:rsid w:val="00136CBA"/>
    <w:rsid w:val="00137537"/>
    <w:rsid w:val="00137671"/>
    <w:rsid w:val="0014014B"/>
    <w:rsid w:val="00140205"/>
    <w:rsid w:val="00140450"/>
    <w:rsid w:val="0014050E"/>
    <w:rsid w:val="001406E4"/>
    <w:rsid w:val="00140962"/>
    <w:rsid w:val="00140A8B"/>
    <w:rsid w:val="00140AAF"/>
    <w:rsid w:val="00140C20"/>
    <w:rsid w:val="001412B8"/>
    <w:rsid w:val="00141473"/>
    <w:rsid w:val="0014156D"/>
    <w:rsid w:val="00141A43"/>
    <w:rsid w:val="00142046"/>
    <w:rsid w:val="001420A9"/>
    <w:rsid w:val="001420F2"/>
    <w:rsid w:val="0014212A"/>
    <w:rsid w:val="00142137"/>
    <w:rsid w:val="00142187"/>
    <w:rsid w:val="001421DC"/>
    <w:rsid w:val="001422B3"/>
    <w:rsid w:val="00142653"/>
    <w:rsid w:val="00142A7B"/>
    <w:rsid w:val="00142B1B"/>
    <w:rsid w:val="00142C2B"/>
    <w:rsid w:val="00143391"/>
    <w:rsid w:val="001438EF"/>
    <w:rsid w:val="00143BF9"/>
    <w:rsid w:val="00143CCD"/>
    <w:rsid w:val="00144BB7"/>
    <w:rsid w:val="00144DA5"/>
    <w:rsid w:val="0014579E"/>
    <w:rsid w:val="00145ADE"/>
    <w:rsid w:val="00146C72"/>
    <w:rsid w:val="00146D0D"/>
    <w:rsid w:val="00146D2B"/>
    <w:rsid w:val="00146E9C"/>
    <w:rsid w:val="00146F00"/>
    <w:rsid w:val="001470F6"/>
    <w:rsid w:val="00147CEC"/>
    <w:rsid w:val="00147F4F"/>
    <w:rsid w:val="00150131"/>
    <w:rsid w:val="00150A4E"/>
    <w:rsid w:val="00150BCE"/>
    <w:rsid w:val="00150D14"/>
    <w:rsid w:val="00150E7C"/>
    <w:rsid w:val="00151126"/>
    <w:rsid w:val="001513EF"/>
    <w:rsid w:val="001515F9"/>
    <w:rsid w:val="0015203C"/>
    <w:rsid w:val="00152A1E"/>
    <w:rsid w:val="00152A6D"/>
    <w:rsid w:val="00153868"/>
    <w:rsid w:val="00153D13"/>
    <w:rsid w:val="0015405B"/>
    <w:rsid w:val="00154A13"/>
    <w:rsid w:val="001551F2"/>
    <w:rsid w:val="001556AF"/>
    <w:rsid w:val="00155C8E"/>
    <w:rsid w:val="0015611F"/>
    <w:rsid w:val="001566DC"/>
    <w:rsid w:val="001567DF"/>
    <w:rsid w:val="00156A0E"/>
    <w:rsid w:val="00156A12"/>
    <w:rsid w:val="00156BA3"/>
    <w:rsid w:val="00156DEE"/>
    <w:rsid w:val="0015728A"/>
    <w:rsid w:val="001573E7"/>
    <w:rsid w:val="00157977"/>
    <w:rsid w:val="001579BC"/>
    <w:rsid w:val="00157A51"/>
    <w:rsid w:val="00157A85"/>
    <w:rsid w:val="00157ACC"/>
    <w:rsid w:val="00157C59"/>
    <w:rsid w:val="00157F93"/>
    <w:rsid w:val="00160237"/>
    <w:rsid w:val="00160C12"/>
    <w:rsid w:val="00160C83"/>
    <w:rsid w:val="00160CA1"/>
    <w:rsid w:val="00160E65"/>
    <w:rsid w:val="00160F1D"/>
    <w:rsid w:val="00161630"/>
    <w:rsid w:val="00161727"/>
    <w:rsid w:val="00161947"/>
    <w:rsid w:val="00161F64"/>
    <w:rsid w:val="001624F2"/>
    <w:rsid w:val="001627DF"/>
    <w:rsid w:val="00162AA6"/>
    <w:rsid w:val="00162DF7"/>
    <w:rsid w:val="00162EB0"/>
    <w:rsid w:val="00163153"/>
    <w:rsid w:val="0016315C"/>
    <w:rsid w:val="001632CE"/>
    <w:rsid w:val="00163316"/>
    <w:rsid w:val="00163394"/>
    <w:rsid w:val="001639D9"/>
    <w:rsid w:val="00163CF5"/>
    <w:rsid w:val="00163D11"/>
    <w:rsid w:val="00163EE1"/>
    <w:rsid w:val="001643E2"/>
    <w:rsid w:val="00164416"/>
    <w:rsid w:val="001646D4"/>
    <w:rsid w:val="00164872"/>
    <w:rsid w:val="00164998"/>
    <w:rsid w:val="001649A2"/>
    <w:rsid w:val="00164CF4"/>
    <w:rsid w:val="0016525D"/>
    <w:rsid w:val="0016579E"/>
    <w:rsid w:val="00165ADD"/>
    <w:rsid w:val="00165EF4"/>
    <w:rsid w:val="0016637B"/>
    <w:rsid w:val="00166601"/>
    <w:rsid w:val="00166662"/>
    <w:rsid w:val="00166CE1"/>
    <w:rsid w:val="00166F7F"/>
    <w:rsid w:val="0016724B"/>
    <w:rsid w:val="001676A0"/>
    <w:rsid w:val="001677F9"/>
    <w:rsid w:val="0016797E"/>
    <w:rsid w:val="00167A93"/>
    <w:rsid w:val="00167FFD"/>
    <w:rsid w:val="00170180"/>
    <w:rsid w:val="0017084B"/>
    <w:rsid w:val="00170B00"/>
    <w:rsid w:val="00170C54"/>
    <w:rsid w:val="00170ED7"/>
    <w:rsid w:val="00171C30"/>
    <w:rsid w:val="00171FEE"/>
    <w:rsid w:val="0017224A"/>
    <w:rsid w:val="0017254F"/>
    <w:rsid w:val="0017272C"/>
    <w:rsid w:val="00172D8C"/>
    <w:rsid w:val="00173218"/>
    <w:rsid w:val="001735FD"/>
    <w:rsid w:val="00173689"/>
    <w:rsid w:val="00173763"/>
    <w:rsid w:val="00173850"/>
    <w:rsid w:val="0017469D"/>
    <w:rsid w:val="00174810"/>
    <w:rsid w:val="00174D74"/>
    <w:rsid w:val="00174E23"/>
    <w:rsid w:val="0017527D"/>
    <w:rsid w:val="0017547C"/>
    <w:rsid w:val="001754F7"/>
    <w:rsid w:val="0017568A"/>
    <w:rsid w:val="00175AF4"/>
    <w:rsid w:val="00175CC5"/>
    <w:rsid w:val="00176115"/>
    <w:rsid w:val="0017658B"/>
    <w:rsid w:val="001765B0"/>
    <w:rsid w:val="00176949"/>
    <w:rsid w:val="00176AE0"/>
    <w:rsid w:val="00176FF3"/>
    <w:rsid w:val="0017715A"/>
    <w:rsid w:val="001773A4"/>
    <w:rsid w:val="0017745F"/>
    <w:rsid w:val="00177D96"/>
    <w:rsid w:val="00177DAE"/>
    <w:rsid w:val="00177F0F"/>
    <w:rsid w:val="00180272"/>
    <w:rsid w:val="001806CF"/>
    <w:rsid w:val="00181143"/>
    <w:rsid w:val="0018168E"/>
    <w:rsid w:val="00181800"/>
    <w:rsid w:val="00181C12"/>
    <w:rsid w:val="0018200C"/>
    <w:rsid w:val="00182134"/>
    <w:rsid w:val="001829C5"/>
    <w:rsid w:val="00182E14"/>
    <w:rsid w:val="0018333D"/>
    <w:rsid w:val="001833E0"/>
    <w:rsid w:val="001834C3"/>
    <w:rsid w:val="00183707"/>
    <w:rsid w:val="001838DC"/>
    <w:rsid w:val="00183A08"/>
    <w:rsid w:val="00183DFA"/>
    <w:rsid w:val="00183FDD"/>
    <w:rsid w:val="0018420F"/>
    <w:rsid w:val="001842A5"/>
    <w:rsid w:val="001847D0"/>
    <w:rsid w:val="0018485F"/>
    <w:rsid w:val="00184B32"/>
    <w:rsid w:val="001850C2"/>
    <w:rsid w:val="001854EA"/>
    <w:rsid w:val="00185621"/>
    <w:rsid w:val="001856C1"/>
    <w:rsid w:val="0018577C"/>
    <w:rsid w:val="00185A05"/>
    <w:rsid w:val="00185AF4"/>
    <w:rsid w:val="00185E01"/>
    <w:rsid w:val="00185EF5"/>
    <w:rsid w:val="00185F22"/>
    <w:rsid w:val="0018626E"/>
    <w:rsid w:val="001863A1"/>
    <w:rsid w:val="00186449"/>
    <w:rsid w:val="00186BA4"/>
    <w:rsid w:val="00187A9D"/>
    <w:rsid w:val="00187CFB"/>
    <w:rsid w:val="0019047A"/>
    <w:rsid w:val="00190503"/>
    <w:rsid w:val="001910B0"/>
    <w:rsid w:val="001912A5"/>
    <w:rsid w:val="00191425"/>
    <w:rsid w:val="001914D8"/>
    <w:rsid w:val="001917E1"/>
    <w:rsid w:val="001919E8"/>
    <w:rsid w:val="00191C28"/>
    <w:rsid w:val="00191CE6"/>
    <w:rsid w:val="00191F9B"/>
    <w:rsid w:val="00192223"/>
    <w:rsid w:val="001927E0"/>
    <w:rsid w:val="00192991"/>
    <w:rsid w:val="00192E48"/>
    <w:rsid w:val="001933F8"/>
    <w:rsid w:val="00193894"/>
    <w:rsid w:val="00193D3A"/>
    <w:rsid w:val="00193E04"/>
    <w:rsid w:val="00194264"/>
    <w:rsid w:val="00194274"/>
    <w:rsid w:val="00194704"/>
    <w:rsid w:val="00194708"/>
    <w:rsid w:val="001948A2"/>
    <w:rsid w:val="00194A3B"/>
    <w:rsid w:val="00194A5C"/>
    <w:rsid w:val="00194F4C"/>
    <w:rsid w:val="0019541A"/>
    <w:rsid w:val="00195621"/>
    <w:rsid w:val="00195808"/>
    <w:rsid w:val="001958B5"/>
    <w:rsid w:val="00195A23"/>
    <w:rsid w:val="00195CE6"/>
    <w:rsid w:val="00196152"/>
    <w:rsid w:val="001966FC"/>
    <w:rsid w:val="00196950"/>
    <w:rsid w:val="00196A0B"/>
    <w:rsid w:val="00196F7C"/>
    <w:rsid w:val="0019713C"/>
    <w:rsid w:val="001971AB"/>
    <w:rsid w:val="001972F6"/>
    <w:rsid w:val="001977CF"/>
    <w:rsid w:val="0019798C"/>
    <w:rsid w:val="00197B42"/>
    <w:rsid w:val="00197F6F"/>
    <w:rsid w:val="001A0577"/>
    <w:rsid w:val="001A0FA1"/>
    <w:rsid w:val="001A1AB6"/>
    <w:rsid w:val="001A1B72"/>
    <w:rsid w:val="001A20A5"/>
    <w:rsid w:val="001A266F"/>
    <w:rsid w:val="001A26A9"/>
    <w:rsid w:val="001A2E10"/>
    <w:rsid w:val="001A3182"/>
    <w:rsid w:val="001A358F"/>
    <w:rsid w:val="001A3E25"/>
    <w:rsid w:val="001A3EF1"/>
    <w:rsid w:val="001A4DDE"/>
    <w:rsid w:val="001A4EE2"/>
    <w:rsid w:val="001A5082"/>
    <w:rsid w:val="001A52EA"/>
    <w:rsid w:val="001A53A7"/>
    <w:rsid w:val="001A58A6"/>
    <w:rsid w:val="001A5D2F"/>
    <w:rsid w:val="001A5D62"/>
    <w:rsid w:val="001A6354"/>
    <w:rsid w:val="001A63B6"/>
    <w:rsid w:val="001A644B"/>
    <w:rsid w:val="001A649A"/>
    <w:rsid w:val="001A6799"/>
    <w:rsid w:val="001A688B"/>
    <w:rsid w:val="001A68D8"/>
    <w:rsid w:val="001A7104"/>
    <w:rsid w:val="001A7506"/>
    <w:rsid w:val="001A7731"/>
    <w:rsid w:val="001A7E40"/>
    <w:rsid w:val="001B0010"/>
    <w:rsid w:val="001B0124"/>
    <w:rsid w:val="001B02AC"/>
    <w:rsid w:val="001B0698"/>
    <w:rsid w:val="001B10C0"/>
    <w:rsid w:val="001B10F2"/>
    <w:rsid w:val="001B1248"/>
    <w:rsid w:val="001B272B"/>
    <w:rsid w:val="001B2773"/>
    <w:rsid w:val="001B3311"/>
    <w:rsid w:val="001B35F4"/>
    <w:rsid w:val="001B365F"/>
    <w:rsid w:val="001B3660"/>
    <w:rsid w:val="001B3A2E"/>
    <w:rsid w:val="001B41A5"/>
    <w:rsid w:val="001B490C"/>
    <w:rsid w:val="001B4A79"/>
    <w:rsid w:val="001B50FB"/>
    <w:rsid w:val="001B62FC"/>
    <w:rsid w:val="001B6396"/>
    <w:rsid w:val="001B67BA"/>
    <w:rsid w:val="001B6AC3"/>
    <w:rsid w:val="001B70BE"/>
    <w:rsid w:val="001B76DF"/>
    <w:rsid w:val="001B7846"/>
    <w:rsid w:val="001B7861"/>
    <w:rsid w:val="001B79BB"/>
    <w:rsid w:val="001B7AD4"/>
    <w:rsid w:val="001B7EBB"/>
    <w:rsid w:val="001C0656"/>
    <w:rsid w:val="001C0C09"/>
    <w:rsid w:val="001C1220"/>
    <w:rsid w:val="001C18C4"/>
    <w:rsid w:val="001C20AB"/>
    <w:rsid w:val="001C220D"/>
    <w:rsid w:val="001C252E"/>
    <w:rsid w:val="001C29F1"/>
    <w:rsid w:val="001C31C1"/>
    <w:rsid w:val="001C32DA"/>
    <w:rsid w:val="001C3A5B"/>
    <w:rsid w:val="001C3B47"/>
    <w:rsid w:val="001C3DD5"/>
    <w:rsid w:val="001C413B"/>
    <w:rsid w:val="001C4523"/>
    <w:rsid w:val="001C4F1B"/>
    <w:rsid w:val="001C515A"/>
    <w:rsid w:val="001C525E"/>
    <w:rsid w:val="001C62E7"/>
    <w:rsid w:val="001C675C"/>
    <w:rsid w:val="001C6C48"/>
    <w:rsid w:val="001C7F8F"/>
    <w:rsid w:val="001D0315"/>
    <w:rsid w:val="001D092C"/>
    <w:rsid w:val="001D0BD4"/>
    <w:rsid w:val="001D1201"/>
    <w:rsid w:val="001D1558"/>
    <w:rsid w:val="001D1B7F"/>
    <w:rsid w:val="001D1C83"/>
    <w:rsid w:val="001D2183"/>
    <w:rsid w:val="001D2377"/>
    <w:rsid w:val="001D247E"/>
    <w:rsid w:val="001D294D"/>
    <w:rsid w:val="001D3438"/>
    <w:rsid w:val="001D3608"/>
    <w:rsid w:val="001D370D"/>
    <w:rsid w:val="001D3EC4"/>
    <w:rsid w:val="001D411A"/>
    <w:rsid w:val="001D482D"/>
    <w:rsid w:val="001D4A45"/>
    <w:rsid w:val="001D4C86"/>
    <w:rsid w:val="001D4F2A"/>
    <w:rsid w:val="001D4F4A"/>
    <w:rsid w:val="001D53D7"/>
    <w:rsid w:val="001D5432"/>
    <w:rsid w:val="001D56A3"/>
    <w:rsid w:val="001D5A6A"/>
    <w:rsid w:val="001D630F"/>
    <w:rsid w:val="001D66B6"/>
    <w:rsid w:val="001D6A43"/>
    <w:rsid w:val="001D6F52"/>
    <w:rsid w:val="001D7027"/>
    <w:rsid w:val="001D70DF"/>
    <w:rsid w:val="001D737F"/>
    <w:rsid w:val="001D7763"/>
    <w:rsid w:val="001D77F1"/>
    <w:rsid w:val="001D7E5F"/>
    <w:rsid w:val="001E011D"/>
    <w:rsid w:val="001E097A"/>
    <w:rsid w:val="001E097C"/>
    <w:rsid w:val="001E09A8"/>
    <w:rsid w:val="001E0A67"/>
    <w:rsid w:val="001E1244"/>
    <w:rsid w:val="001E16C7"/>
    <w:rsid w:val="001E1AA8"/>
    <w:rsid w:val="001E1AEB"/>
    <w:rsid w:val="001E2003"/>
    <w:rsid w:val="001E219B"/>
    <w:rsid w:val="001E287E"/>
    <w:rsid w:val="001E2CA7"/>
    <w:rsid w:val="001E2EB7"/>
    <w:rsid w:val="001E363E"/>
    <w:rsid w:val="001E399D"/>
    <w:rsid w:val="001E3AEB"/>
    <w:rsid w:val="001E3BA0"/>
    <w:rsid w:val="001E3C91"/>
    <w:rsid w:val="001E3DE6"/>
    <w:rsid w:val="001E3FA5"/>
    <w:rsid w:val="001E4347"/>
    <w:rsid w:val="001E4722"/>
    <w:rsid w:val="001E4A64"/>
    <w:rsid w:val="001E4D6A"/>
    <w:rsid w:val="001E5255"/>
    <w:rsid w:val="001E57AB"/>
    <w:rsid w:val="001E5F9C"/>
    <w:rsid w:val="001E6164"/>
    <w:rsid w:val="001E6D2A"/>
    <w:rsid w:val="001E6DA3"/>
    <w:rsid w:val="001F00D4"/>
    <w:rsid w:val="001F0BE7"/>
    <w:rsid w:val="001F18B6"/>
    <w:rsid w:val="001F1BCC"/>
    <w:rsid w:val="001F1EF0"/>
    <w:rsid w:val="001F21FD"/>
    <w:rsid w:val="001F2760"/>
    <w:rsid w:val="001F284E"/>
    <w:rsid w:val="001F28E8"/>
    <w:rsid w:val="001F2A3B"/>
    <w:rsid w:val="001F32AD"/>
    <w:rsid w:val="001F3695"/>
    <w:rsid w:val="001F436F"/>
    <w:rsid w:val="001F4493"/>
    <w:rsid w:val="001F449A"/>
    <w:rsid w:val="001F4770"/>
    <w:rsid w:val="001F4919"/>
    <w:rsid w:val="001F4B95"/>
    <w:rsid w:val="001F5279"/>
    <w:rsid w:val="001F565E"/>
    <w:rsid w:val="001F5810"/>
    <w:rsid w:val="001F5FF4"/>
    <w:rsid w:val="001F6841"/>
    <w:rsid w:val="001F68FC"/>
    <w:rsid w:val="001F6973"/>
    <w:rsid w:val="001F6CA4"/>
    <w:rsid w:val="001F6E2C"/>
    <w:rsid w:val="001F705D"/>
    <w:rsid w:val="001F7277"/>
    <w:rsid w:val="001F7D96"/>
    <w:rsid w:val="00200963"/>
    <w:rsid w:val="00200D98"/>
    <w:rsid w:val="0020152D"/>
    <w:rsid w:val="002017F0"/>
    <w:rsid w:val="00201C44"/>
    <w:rsid w:val="00202128"/>
    <w:rsid w:val="0020225C"/>
    <w:rsid w:val="00202359"/>
    <w:rsid w:val="00202572"/>
    <w:rsid w:val="00202743"/>
    <w:rsid w:val="0020287B"/>
    <w:rsid w:val="00202A75"/>
    <w:rsid w:val="00202B39"/>
    <w:rsid w:val="00202DE4"/>
    <w:rsid w:val="002030B3"/>
    <w:rsid w:val="002032E6"/>
    <w:rsid w:val="002039EC"/>
    <w:rsid w:val="00203FA5"/>
    <w:rsid w:val="0020428E"/>
    <w:rsid w:val="0020475F"/>
    <w:rsid w:val="00205031"/>
    <w:rsid w:val="0020526C"/>
    <w:rsid w:val="0020564F"/>
    <w:rsid w:val="00205A25"/>
    <w:rsid w:val="00205AC3"/>
    <w:rsid w:val="00205C44"/>
    <w:rsid w:val="00205D02"/>
    <w:rsid w:val="00206790"/>
    <w:rsid w:val="0020687C"/>
    <w:rsid w:val="00206944"/>
    <w:rsid w:val="00206A46"/>
    <w:rsid w:val="00206A81"/>
    <w:rsid w:val="00206E4F"/>
    <w:rsid w:val="00207029"/>
    <w:rsid w:val="002077B5"/>
    <w:rsid w:val="002078B9"/>
    <w:rsid w:val="00207922"/>
    <w:rsid w:val="00207E01"/>
    <w:rsid w:val="00207E06"/>
    <w:rsid w:val="002102AD"/>
    <w:rsid w:val="00210605"/>
    <w:rsid w:val="00210626"/>
    <w:rsid w:val="002107BE"/>
    <w:rsid w:val="00210811"/>
    <w:rsid w:val="00210A30"/>
    <w:rsid w:val="00210C45"/>
    <w:rsid w:val="00210DE9"/>
    <w:rsid w:val="002113B8"/>
    <w:rsid w:val="0021178C"/>
    <w:rsid w:val="00211B19"/>
    <w:rsid w:val="00212028"/>
    <w:rsid w:val="002120CC"/>
    <w:rsid w:val="00212108"/>
    <w:rsid w:val="002128FD"/>
    <w:rsid w:val="00212B0F"/>
    <w:rsid w:val="00212C83"/>
    <w:rsid w:val="00212D64"/>
    <w:rsid w:val="00213305"/>
    <w:rsid w:val="002137DD"/>
    <w:rsid w:val="002139F0"/>
    <w:rsid w:val="00213BB2"/>
    <w:rsid w:val="00213C67"/>
    <w:rsid w:val="0021419F"/>
    <w:rsid w:val="002148A4"/>
    <w:rsid w:val="0021572D"/>
    <w:rsid w:val="00215C5C"/>
    <w:rsid w:val="002161A4"/>
    <w:rsid w:val="00216DE9"/>
    <w:rsid w:val="00216E82"/>
    <w:rsid w:val="0021700D"/>
    <w:rsid w:val="002170FC"/>
    <w:rsid w:val="002172CB"/>
    <w:rsid w:val="00217A5B"/>
    <w:rsid w:val="002200C1"/>
    <w:rsid w:val="00220551"/>
    <w:rsid w:val="00220D81"/>
    <w:rsid w:val="00220F49"/>
    <w:rsid w:val="00220F58"/>
    <w:rsid w:val="002216E3"/>
    <w:rsid w:val="00221776"/>
    <w:rsid w:val="002219C9"/>
    <w:rsid w:val="00221D9B"/>
    <w:rsid w:val="002220E9"/>
    <w:rsid w:val="00222309"/>
    <w:rsid w:val="002226E5"/>
    <w:rsid w:val="00222954"/>
    <w:rsid w:val="00222D6F"/>
    <w:rsid w:val="00223790"/>
    <w:rsid w:val="00223EB8"/>
    <w:rsid w:val="00224191"/>
    <w:rsid w:val="002241AE"/>
    <w:rsid w:val="002243B0"/>
    <w:rsid w:val="00224756"/>
    <w:rsid w:val="00224C7F"/>
    <w:rsid w:val="00224E33"/>
    <w:rsid w:val="00225018"/>
    <w:rsid w:val="002257D7"/>
    <w:rsid w:val="00225BBF"/>
    <w:rsid w:val="002262F4"/>
    <w:rsid w:val="00227B63"/>
    <w:rsid w:val="00227DD3"/>
    <w:rsid w:val="00227FA7"/>
    <w:rsid w:val="00230446"/>
    <w:rsid w:val="00230611"/>
    <w:rsid w:val="00230739"/>
    <w:rsid w:val="0023079A"/>
    <w:rsid w:val="0023099A"/>
    <w:rsid w:val="00231208"/>
    <w:rsid w:val="0023176B"/>
    <w:rsid w:val="002319D0"/>
    <w:rsid w:val="00231CE8"/>
    <w:rsid w:val="00231D40"/>
    <w:rsid w:val="00231FB5"/>
    <w:rsid w:val="0023232E"/>
    <w:rsid w:val="00232641"/>
    <w:rsid w:val="002328A1"/>
    <w:rsid w:val="00232AB1"/>
    <w:rsid w:val="00232B1A"/>
    <w:rsid w:val="002330A5"/>
    <w:rsid w:val="00233269"/>
    <w:rsid w:val="002336F0"/>
    <w:rsid w:val="00233D79"/>
    <w:rsid w:val="00234005"/>
    <w:rsid w:val="002345FB"/>
    <w:rsid w:val="00234FD4"/>
    <w:rsid w:val="00235043"/>
    <w:rsid w:val="00235522"/>
    <w:rsid w:val="002358CE"/>
    <w:rsid w:val="00235B21"/>
    <w:rsid w:val="00235D2A"/>
    <w:rsid w:val="00236169"/>
    <w:rsid w:val="0023616C"/>
    <w:rsid w:val="002368F9"/>
    <w:rsid w:val="00236DBC"/>
    <w:rsid w:val="00237150"/>
    <w:rsid w:val="00237F3C"/>
    <w:rsid w:val="00240096"/>
    <w:rsid w:val="002403F5"/>
    <w:rsid w:val="0024063F"/>
    <w:rsid w:val="0024097E"/>
    <w:rsid w:val="00240ACB"/>
    <w:rsid w:val="002415A1"/>
    <w:rsid w:val="00241A05"/>
    <w:rsid w:val="00242770"/>
    <w:rsid w:val="00242D2C"/>
    <w:rsid w:val="00242E43"/>
    <w:rsid w:val="002430E9"/>
    <w:rsid w:val="00243305"/>
    <w:rsid w:val="002438D3"/>
    <w:rsid w:val="00243973"/>
    <w:rsid w:val="00243B64"/>
    <w:rsid w:val="00243DC0"/>
    <w:rsid w:val="00243EC2"/>
    <w:rsid w:val="002442E1"/>
    <w:rsid w:val="00244DE8"/>
    <w:rsid w:val="00244E1C"/>
    <w:rsid w:val="00244E34"/>
    <w:rsid w:val="00244F9C"/>
    <w:rsid w:val="00245280"/>
    <w:rsid w:val="002454F7"/>
    <w:rsid w:val="0024573A"/>
    <w:rsid w:val="00245EE3"/>
    <w:rsid w:val="00246332"/>
    <w:rsid w:val="00246CE4"/>
    <w:rsid w:val="002470AD"/>
    <w:rsid w:val="002474E3"/>
    <w:rsid w:val="002476F8"/>
    <w:rsid w:val="0024797A"/>
    <w:rsid w:val="00247C28"/>
    <w:rsid w:val="002505FB"/>
    <w:rsid w:val="002507AB"/>
    <w:rsid w:val="00250BA5"/>
    <w:rsid w:val="00250C3F"/>
    <w:rsid w:val="00250CCE"/>
    <w:rsid w:val="00250D18"/>
    <w:rsid w:val="00250E4A"/>
    <w:rsid w:val="00251474"/>
    <w:rsid w:val="002518DA"/>
    <w:rsid w:val="00251DC6"/>
    <w:rsid w:val="00251F68"/>
    <w:rsid w:val="00252019"/>
    <w:rsid w:val="002521A3"/>
    <w:rsid w:val="00252AD8"/>
    <w:rsid w:val="002537CC"/>
    <w:rsid w:val="00253AC5"/>
    <w:rsid w:val="00253D7B"/>
    <w:rsid w:val="00254431"/>
    <w:rsid w:val="002548C4"/>
    <w:rsid w:val="002558F5"/>
    <w:rsid w:val="0025596D"/>
    <w:rsid w:val="00256389"/>
    <w:rsid w:val="00256443"/>
    <w:rsid w:val="00256447"/>
    <w:rsid w:val="00256799"/>
    <w:rsid w:val="00256842"/>
    <w:rsid w:val="00256A5C"/>
    <w:rsid w:val="00256D2B"/>
    <w:rsid w:val="00256DAD"/>
    <w:rsid w:val="00257090"/>
    <w:rsid w:val="002573EE"/>
    <w:rsid w:val="00257540"/>
    <w:rsid w:val="00257ECC"/>
    <w:rsid w:val="00260019"/>
    <w:rsid w:val="002605E9"/>
    <w:rsid w:val="00260D0B"/>
    <w:rsid w:val="0026102B"/>
    <w:rsid w:val="0026112D"/>
    <w:rsid w:val="0026122B"/>
    <w:rsid w:val="00261293"/>
    <w:rsid w:val="002612FD"/>
    <w:rsid w:val="0026137D"/>
    <w:rsid w:val="00261FCC"/>
    <w:rsid w:val="00262847"/>
    <w:rsid w:val="00262EF3"/>
    <w:rsid w:val="002635C4"/>
    <w:rsid w:val="002637C6"/>
    <w:rsid w:val="00263A29"/>
    <w:rsid w:val="00263BC6"/>
    <w:rsid w:val="00263CA7"/>
    <w:rsid w:val="00263D0C"/>
    <w:rsid w:val="00263D35"/>
    <w:rsid w:val="00263E5E"/>
    <w:rsid w:val="002643E2"/>
    <w:rsid w:val="00264492"/>
    <w:rsid w:val="002649D0"/>
    <w:rsid w:val="00264E98"/>
    <w:rsid w:val="00264FFA"/>
    <w:rsid w:val="002654C6"/>
    <w:rsid w:val="002654E4"/>
    <w:rsid w:val="00265757"/>
    <w:rsid w:val="00265AA0"/>
    <w:rsid w:val="002663EA"/>
    <w:rsid w:val="002666C3"/>
    <w:rsid w:val="00266740"/>
    <w:rsid w:val="00266E3E"/>
    <w:rsid w:val="00266EBB"/>
    <w:rsid w:val="00266F2F"/>
    <w:rsid w:val="002671FE"/>
    <w:rsid w:val="00267B05"/>
    <w:rsid w:val="00267D6D"/>
    <w:rsid w:val="00267E34"/>
    <w:rsid w:val="00267FDD"/>
    <w:rsid w:val="00270025"/>
    <w:rsid w:val="00270309"/>
    <w:rsid w:val="00270AC2"/>
    <w:rsid w:val="00270BF9"/>
    <w:rsid w:val="00271477"/>
    <w:rsid w:val="0027170F"/>
    <w:rsid w:val="00271A0E"/>
    <w:rsid w:val="00271AAB"/>
    <w:rsid w:val="00271E79"/>
    <w:rsid w:val="00271FED"/>
    <w:rsid w:val="00272361"/>
    <w:rsid w:val="00272C72"/>
    <w:rsid w:val="00272FF7"/>
    <w:rsid w:val="00273461"/>
    <w:rsid w:val="002735E1"/>
    <w:rsid w:val="0027381D"/>
    <w:rsid w:val="00273D69"/>
    <w:rsid w:val="00273EEB"/>
    <w:rsid w:val="00274F97"/>
    <w:rsid w:val="00275548"/>
    <w:rsid w:val="00275EA2"/>
    <w:rsid w:val="0027606B"/>
    <w:rsid w:val="00276388"/>
    <w:rsid w:val="00276B3C"/>
    <w:rsid w:val="00276D29"/>
    <w:rsid w:val="00276E94"/>
    <w:rsid w:val="0027726F"/>
    <w:rsid w:val="00277538"/>
    <w:rsid w:val="002777A2"/>
    <w:rsid w:val="00277D70"/>
    <w:rsid w:val="00277E33"/>
    <w:rsid w:val="00277F9A"/>
    <w:rsid w:val="00280084"/>
    <w:rsid w:val="0028009F"/>
    <w:rsid w:val="002802DC"/>
    <w:rsid w:val="00280667"/>
    <w:rsid w:val="00280829"/>
    <w:rsid w:val="0028089A"/>
    <w:rsid w:val="00280AE7"/>
    <w:rsid w:val="00280B6C"/>
    <w:rsid w:val="00280E8A"/>
    <w:rsid w:val="00280EF5"/>
    <w:rsid w:val="0028184C"/>
    <w:rsid w:val="0028187D"/>
    <w:rsid w:val="00281D97"/>
    <w:rsid w:val="00281DAE"/>
    <w:rsid w:val="0028254C"/>
    <w:rsid w:val="002826F5"/>
    <w:rsid w:val="00282740"/>
    <w:rsid w:val="002829E8"/>
    <w:rsid w:val="00282AD8"/>
    <w:rsid w:val="002830A5"/>
    <w:rsid w:val="002834FD"/>
    <w:rsid w:val="002839A4"/>
    <w:rsid w:val="00283B4A"/>
    <w:rsid w:val="0028421A"/>
    <w:rsid w:val="00284D77"/>
    <w:rsid w:val="00285354"/>
    <w:rsid w:val="0028574E"/>
    <w:rsid w:val="002859C4"/>
    <w:rsid w:val="00285DE1"/>
    <w:rsid w:val="00286255"/>
    <w:rsid w:val="00286305"/>
    <w:rsid w:val="002866B7"/>
    <w:rsid w:val="00286810"/>
    <w:rsid w:val="002869CC"/>
    <w:rsid w:val="00286C79"/>
    <w:rsid w:val="00286CCF"/>
    <w:rsid w:val="00286CFF"/>
    <w:rsid w:val="00286F8C"/>
    <w:rsid w:val="00286FD8"/>
    <w:rsid w:val="00286FF6"/>
    <w:rsid w:val="0028700F"/>
    <w:rsid w:val="002871C8"/>
    <w:rsid w:val="0028739D"/>
    <w:rsid w:val="0028767D"/>
    <w:rsid w:val="00290074"/>
    <w:rsid w:val="002902DA"/>
    <w:rsid w:val="00290635"/>
    <w:rsid w:val="00290690"/>
    <w:rsid w:val="00290BA7"/>
    <w:rsid w:val="00290CD4"/>
    <w:rsid w:val="002914EB"/>
    <w:rsid w:val="002916C0"/>
    <w:rsid w:val="00291AD0"/>
    <w:rsid w:val="00292074"/>
    <w:rsid w:val="002924DD"/>
    <w:rsid w:val="0029297D"/>
    <w:rsid w:val="00292E58"/>
    <w:rsid w:val="00293220"/>
    <w:rsid w:val="00293985"/>
    <w:rsid w:val="00293D73"/>
    <w:rsid w:val="00293E8C"/>
    <w:rsid w:val="00293ED0"/>
    <w:rsid w:val="00294680"/>
    <w:rsid w:val="002947C7"/>
    <w:rsid w:val="00294831"/>
    <w:rsid w:val="00294A2B"/>
    <w:rsid w:val="00294BB8"/>
    <w:rsid w:val="002956C0"/>
    <w:rsid w:val="00295874"/>
    <w:rsid w:val="002959EB"/>
    <w:rsid w:val="002960F0"/>
    <w:rsid w:val="00296153"/>
    <w:rsid w:val="00296463"/>
    <w:rsid w:val="002964CD"/>
    <w:rsid w:val="00296588"/>
    <w:rsid w:val="00296966"/>
    <w:rsid w:val="00296AA6"/>
    <w:rsid w:val="00296AEB"/>
    <w:rsid w:val="00296B1E"/>
    <w:rsid w:val="00296D1A"/>
    <w:rsid w:val="00296D4C"/>
    <w:rsid w:val="00297000"/>
    <w:rsid w:val="00297791"/>
    <w:rsid w:val="00297A62"/>
    <w:rsid w:val="00297A97"/>
    <w:rsid w:val="00297F6D"/>
    <w:rsid w:val="002A042E"/>
    <w:rsid w:val="002A0594"/>
    <w:rsid w:val="002A05B2"/>
    <w:rsid w:val="002A069D"/>
    <w:rsid w:val="002A1088"/>
    <w:rsid w:val="002A1B0F"/>
    <w:rsid w:val="002A1E76"/>
    <w:rsid w:val="002A20EF"/>
    <w:rsid w:val="002A21DB"/>
    <w:rsid w:val="002A2AB5"/>
    <w:rsid w:val="002A3169"/>
    <w:rsid w:val="002A36FE"/>
    <w:rsid w:val="002A445D"/>
    <w:rsid w:val="002A48C4"/>
    <w:rsid w:val="002A4C17"/>
    <w:rsid w:val="002A56AF"/>
    <w:rsid w:val="002A659D"/>
    <w:rsid w:val="002A67CF"/>
    <w:rsid w:val="002A68FF"/>
    <w:rsid w:val="002A6ABE"/>
    <w:rsid w:val="002A6ACF"/>
    <w:rsid w:val="002A6D55"/>
    <w:rsid w:val="002A6E86"/>
    <w:rsid w:val="002A7520"/>
    <w:rsid w:val="002A7846"/>
    <w:rsid w:val="002A7E31"/>
    <w:rsid w:val="002B0110"/>
    <w:rsid w:val="002B03E0"/>
    <w:rsid w:val="002B0815"/>
    <w:rsid w:val="002B0B29"/>
    <w:rsid w:val="002B0E6C"/>
    <w:rsid w:val="002B0FBB"/>
    <w:rsid w:val="002B103E"/>
    <w:rsid w:val="002B19A7"/>
    <w:rsid w:val="002B1C4D"/>
    <w:rsid w:val="002B2043"/>
    <w:rsid w:val="002B204D"/>
    <w:rsid w:val="002B2BE0"/>
    <w:rsid w:val="002B2C61"/>
    <w:rsid w:val="002B2E70"/>
    <w:rsid w:val="002B3030"/>
    <w:rsid w:val="002B3213"/>
    <w:rsid w:val="002B3D55"/>
    <w:rsid w:val="002B3D9F"/>
    <w:rsid w:val="002B3F06"/>
    <w:rsid w:val="002B4014"/>
    <w:rsid w:val="002B4585"/>
    <w:rsid w:val="002B47F4"/>
    <w:rsid w:val="002B49C3"/>
    <w:rsid w:val="002B4A0C"/>
    <w:rsid w:val="002B4A65"/>
    <w:rsid w:val="002B588F"/>
    <w:rsid w:val="002B5966"/>
    <w:rsid w:val="002B5A0C"/>
    <w:rsid w:val="002B5D58"/>
    <w:rsid w:val="002B5E00"/>
    <w:rsid w:val="002B5FD2"/>
    <w:rsid w:val="002B636E"/>
    <w:rsid w:val="002B654C"/>
    <w:rsid w:val="002B66FA"/>
    <w:rsid w:val="002B684A"/>
    <w:rsid w:val="002B73A2"/>
    <w:rsid w:val="002B74D0"/>
    <w:rsid w:val="002B7521"/>
    <w:rsid w:val="002B75B9"/>
    <w:rsid w:val="002B79CE"/>
    <w:rsid w:val="002C03AD"/>
    <w:rsid w:val="002C054C"/>
    <w:rsid w:val="002C08D5"/>
    <w:rsid w:val="002C09DC"/>
    <w:rsid w:val="002C0E18"/>
    <w:rsid w:val="002C0E1C"/>
    <w:rsid w:val="002C1401"/>
    <w:rsid w:val="002C15A0"/>
    <w:rsid w:val="002C15CE"/>
    <w:rsid w:val="002C1846"/>
    <w:rsid w:val="002C1B22"/>
    <w:rsid w:val="002C1BD0"/>
    <w:rsid w:val="002C2095"/>
    <w:rsid w:val="002C25D8"/>
    <w:rsid w:val="002C2F16"/>
    <w:rsid w:val="002C3159"/>
    <w:rsid w:val="002C322D"/>
    <w:rsid w:val="002C35F5"/>
    <w:rsid w:val="002C360A"/>
    <w:rsid w:val="002C3707"/>
    <w:rsid w:val="002C3AF3"/>
    <w:rsid w:val="002C3B25"/>
    <w:rsid w:val="002C3E7D"/>
    <w:rsid w:val="002C405F"/>
    <w:rsid w:val="002C424E"/>
    <w:rsid w:val="002C43CE"/>
    <w:rsid w:val="002C4703"/>
    <w:rsid w:val="002C4731"/>
    <w:rsid w:val="002C4B9D"/>
    <w:rsid w:val="002C4F74"/>
    <w:rsid w:val="002C5078"/>
    <w:rsid w:val="002C541E"/>
    <w:rsid w:val="002C5478"/>
    <w:rsid w:val="002C55AE"/>
    <w:rsid w:val="002C5898"/>
    <w:rsid w:val="002C58CF"/>
    <w:rsid w:val="002C5D9B"/>
    <w:rsid w:val="002C6312"/>
    <w:rsid w:val="002C6A1E"/>
    <w:rsid w:val="002C7045"/>
    <w:rsid w:val="002C71B8"/>
    <w:rsid w:val="002C7348"/>
    <w:rsid w:val="002C757B"/>
    <w:rsid w:val="002C75C6"/>
    <w:rsid w:val="002C788F"/>
    <w:rsid w:val="002C7F26"/>
    <w:rsid w:val="002D0452"/>
    <w:rsid w:val="002D05EC"/>
    <w:rsid w:val="002D09E0"/>
    <w:rsid w:val="002D0A86"/>
    <w:rsid w:val="002D11A6"/>
    <w:rsid w:val="002D127E"/>
    <w:rsid w:val="002D1895"/>
    <w:rsid w:val="002D1980"/>
    <w:rsid w:val="002D19E0"/>
    <w:rsid w:val="002D1B30"/>
    <w:rsid w:val="002D1FB8"/>
    <w:rsid w:val="002D28B1"/>
    <w:rsid w:val="002D29A0"/>
    <w:rsid w:val="002D2A81"/>
    <w:rsid w:val="002D2AAF"/>
    <w:rsid w:val="002D2E3C"/>
    <w:rsid w:val="002D2FD4"/>
    <w:rsid w:val="002D303F"/>
    <w:rsid w:val="002D351D"/>
    <w:rsid w:val="002D36CB"/>
    <w:rsid w:val="002D36FD"/>
    <w:rsid w:val="002D41E9"/>
    <w:rsid w:val="002D4424"/>
    <w:rsid w:val="002D4C25"/>
    <w:rsid w:val="002D4D35"/>
    <w:rsid w:val="002D4F3F"/>
    <w:rsid w:val="002D540B"/>
    <w:rsid w:val="002D5C92"/>
    <w:rsid w:val="002D5D59"/>
    <w:rsid w:val="002D5F2F"/>
    <w:rsid w:val="002D5F30"/>
    <w:rsid w:val="002D6396"/>
    <w:rsid w:val="002D6811"/>
    <w:rsid w:val="002D6846"/>
    <w:rsid w:val="002D6888"/>
    <w:rsid w:val="002D699B"/>
    <w:rsid w:val="002D725D"/>
    <w:rsid w:val="002D72CC"/>
    <w:rsid w:val="002D7B35"/>
    <w:rsid w:val="002D7CB3"/>
    <w:rsid w:val="002D7D86"/>
    <w:rsid w:val="002E00FD"/>
    <w:rsid w:val="002E0531"/>
    <w:rsid w:val="002E0E19"/>
    <w:rsid w:val="002E1232"/>
    <w:rsid w:val="002E1259"/>
    <w:rsid w:val="002E1829"/>
    <w:rsid w:val="002E193A"/>
    <w:rsid w:val="002E1A1D"/>
    <w:rsid w:val="002E1A43"/>
    <w:rsid w:val="002E1A4C"/>
    <w:rsid w:val="002E24F5"/>
    <w:rsid w:val="002E273D"/>
    <w:rsid w:val="002E2860"/>
    <w:rsid w:val="002E28AE"/>
    <w:rsid w:val="002E3603"/>
    <w:rsid w:val="002E3671"/>
    <w:rsid w:val="002E3D00"/>
    <w:rsid w:val="002E3DBD"/>
    <w:rsid w:val="002E3EB1"/>
    <w:rsid w:val="002E4247"/>
    <w:rsid w:val="002E4686"/>
    <w:rsid w:val="002E47A3"/>
    <w:rsid w:val="002E483E"/>
    <w:rsid w:val="002E48CC"/>
    <w:rsid w:val="002E4918"/>
    <w:rsid w:val="002E4D40"/>
    <w:rsid w:val="002E511A"/>
    <w:rsid w:val="002E51B1"/>
    <w:rsid w:val="002E5E0F"/>
    <w:rsid w:val="002E5E1B"/>
    <w:rsid w:val="002E62C2"/>
    <w:rsid w:val="002E6A3B"/>
    <w:rsid w:val="002E6AD8"/>
    <w:rsid w:val="002E711F"/>
    <w:rsid w:val="002E757A"/>
    <w:rsid w:val="002E7637"/>
    <w:rsid w:val="002E7912"/>
    <w:rsid w:val="002F00F9"/>
    <w:rsid w:val="002F03AD"/>
    <w:rsid w:val="002F053F"/>
    <w:rsid w:val="002F077A"/>
    <w:rsid w:val="002F0E37"/>
    <w:rsid w:val="002F14CA"/>
    <w:rsid w:val="002F166E"/>
    <w:rsid w:val="002F222C"/>
    <w:rsid w:val="002F2B47"/>
    <w:rsid w:val="002F2BA5"/>
    <w:rsid w:val="002F2D00"/>
    <w:rsid w:val="002F3109"/>
    <w:rsid w:val="002F3254"/>
    <w:rsid w:val="002F38C7"/>
    <w:rsid w:val="002F3E40"/>
    <w:rsid w:val="002F3F17"/>
    <w:rsid w:val="002F424F"/>
    <w:rsid w:val="002F43B3"/>
    <w:rsid w:val="002F4681"/>
    <w:rsid w:val="002F4ACF"/>
    <w:rsid w:val="002F4AD1"/>
    <w:rsid w:val="002F4FD5"/>
    <w:rsid w:val="002F5049"/>
    <w:rsid w:val="002F51D5"/>
    <w:rsid w:val="002F57AC"/>
    <w:rsid w:val="002F5889"/>
    <w:rsid w:val="002F58D7"/>
    <w:rsid w:val="002F5A23"/>
    <w:rsid w:val="002F6079"/>
    <w:rsid w:val="002F61FD"/>
    <w:rsid w:val="002F65AF"/>
    <w:rsid w:val="002F6699"/>
    <w:rsid w:val="002F690A"/>
    <w:rsid w:val="002F7332"/>
    <w:rsid w:val="002F767F"/>
    <w:rsid w:val="002F78AA"/>
    <w:rsid w:val="00300256"/>
    <w:rsid w:val="003005D2"/>
    <w:rsid w:val="003013F6"/>
    <w:rsid w:val="003022CC"/>
    <w:rsid w:val="003023D8"/>
    <w:rsid w:val="003024B1"/>
    <w:rsid w:val="003025CD"/>
    <w:rsid w:val="003029AC"/>
    <w:rsid w:val="00302CAA"/>
    <w:rsid w:val="003034A1"/>
    <w:rsid w:val="0030463E"/>
    <w:rsid w:val="003049F0"/>
    <w:rsid w:val="00304F80"/>
    <w:rsid w:val="003053AF"/>
    <w:rsid w:val="003060CA"/>
    <w:rsid w:val="00306118"/>
    <w:rsid w:val="003061FD"/>
    <w:rsid w:val="00306407"/>
    <w:rsid w:val="0030651B"/>
    <w:rsid w:val="0030696F"/>
    <w:rsid w:val="00306BE5"/>
    <w:rsid w:val="00306C71"/>
    <w:rsid w:val="00306DA9"/>
    <w:rsid w:val="0030706A"/>
    <w:rsid w:val="00307362"/>
    <w:rsid w:val="00307C48"/>
    <w:rsid w:val="003102F7"/>
    <w:rsid w:val="00310863"/>
    <w:rsid w:val="003114FA"/>
    <w:rsid w:val="00311540"/>
    <w:rsid w:val="003117BD"/>
    <w:rsid w:val="003119C4"/>
    <w:rsid w:val="00311C79"/>
    <w:rsid w:val="00311C7D"/>
    <w:rsid w:val="00312329"/>
    <w:rsid w:val="00312428"/>
    <w:rsid w:val="003124FA"/>
    <w:rsid w:val="003127DC"/>
    <w:rsid w:val="00312995"/>
    <w:rsid w:val="00312D9B"/>
    <w:rsid w:val="003130E5"/>
    <w:rsid w:val="0031389F"/>
    <w:rsid w:val="00313CED"/>
    <w:rsid w:val="00313EE0"/>
    <w:rsid w:val="0031408A"/>
    <w:rsid w:val="003147E2"/>
    <w:rsid w:val="00314822"/>
    <w:rsid w:val="00315041"/>
    <w:rsid w:val="00315ABA"/>
    <w:rsid w:val="00315BD4"/>
    <w:rsid w:val="00315D13"/>
    <w:rsid w:val="0031606E"/>
    <w:rsid w:val="003161D3"/>
    <w:rsid w:val="00316B72"/>
    <w:rsid w:val="00316CBB"/>
    <w:rsid w:val="00317276"/>
    <w:rsid w:val="00317532"/>
    <w:rsid w:val="0031799D"/>
    <w:rsid w:val="00317FF0"/>
    <w:rsid w:val="003202BE"/>
    <w:rsid w:val="003202BF"/>
    <w:rsid w:val="0032046F"/>
    <w:rsid w:val="003207AE"/>
    <w:rsid w:val="00320B02"/>
    <w:rsid w:val="00320D04"/>
    <w:rsid w:val="00320D47"/>
    <w:rsid w:val="00320F97"/>
    <w:rsid w:val="003212A1"/>
    <w:rsid w:val="00321476"/>
    <w:rsid w:val="00321E3F"/>
    <w:rsid w:val="003220A1"/>
    <w:rsid w:val="0032222B"/>
    <w:rsid w:val="00322779"/>
    <w:rsid w:val="00322799"/>
    <w:rsid w:val="003238E4"/>
    <w:rsid w:val="003239ED"/>
    <w:rsid w:val="00323A87"/>
    <w:rsid w:val="00323B75"/>
    <w:rsid w:val="00323C74"/>
    <w:rsid w:val="00323E52"/>
    <w:rsid w:val="003242D2"/>
    <w:rsid w:val="0032460A"/>
    <w:rsid w:val="00324670"/>
    <w:rsid w:val="0032491F"/>
    <w:rsid w:val="00324CDB"/>
    <w:rsid w:val="00324E01"/>
    <w:rsid w:val="00324EF8"/>
    <w:rsid w:val="00325515"/>
    <w:rsid w:val="0032554B"/>
    <w:rsid w:val="00325725"/>
    <w:rsid w:val="00325A2E"/>
    <w:rsid w:val="00325BF9"/>
    <w:rsid w:val="00325DB3"/>
    <w:rsid w:val="00325F63"/>
    <w:rsid w:val="00326C3B"/>
    <w:rsid w:val="00326DC5"/>
    <w:rsid w:val="003272AA"/>
    <w:rsid w:val="00327A01"/>
    <w:rsid w:val="00327D6E"/>
    <w:rsid w:val="00330372"/>
    <w:rsid w:val="003303D6"/>
    <w:rsid w:val="00330603"/>
    <w:rsid w:val="003308C7"/>
    <w:rsid w:val="003311E0"/>
    <w:rsid w:val="003311FC"/>
    <w:rsid w:val="003312D7"/>
    <w:rsid w:val="00331A9F"/>
    <w:rsid w:val="00331C98"/>
    <w:rsid w:val="00332404"/>
    <w:rsid w:val="003328EF"/>
    <w:rsid w:val="00332DC2"/>
    <w:rsid w:val="003330FF"/>
    <w:rsid w:val="00333592"/>
    <w:rsid w:val="00333A62"/>
    <w:rsid w:val="00333D94"/>
    <w:rsid w:val="00333FEA"/>
    <w:rsid w:val="00334210"/>
    <w:rsid w:val="00335504"/>
    <w:rsid w:val="00335E2F"/>
    <w:rsid w:val="00336266"/>
    <w:rsid w:val="003367DF"/>
    <w:rsid w:val="0033691F"/>
    <w:rsid w:val="00336CA4"/>
    <w:rsid w:val="00336F7C"/>
    <w:rsid w:val="00337387"/>
    <w:rsid w:val="00337419"/>
    <w:rsid w:val="0033754B"/>
    <w:rsid w:val="003376FE"/>
    <w:rsid w:val="00337C1C"/>
    <w:rsid w:val="00337D41"/>
    <w:rsid w:val="00337E91"/>
    <w:rsid w:val="00337F04"/>
    <w:rsid w:val="003400D7"/>
    <w:rsid w:val="0034013F"/>
    <w:rsid w:val="003403B3"/>
    <w:rsid w:val="003404A2"/>
    <w:rsid w:val="00340BD8"/>
    <w:rsid w:val="0034106E"/>
    <w:rsid w:val="0034108A"/>
    <w:rsid w:val="0034166F"/>
    <w:rsid w:val="0034176A"/>
    <w:rsid w:val="0034186E"/>
    <w:rsid w:val="00341C00"/>
    <w:rsid w:val="00341CED"/>
    <w:rsid w:val="00341D1F"/>
    <w:rsid w:val="00342326"/>
    <w:rsid w:val="003425AB"/>
    <w:rsid w:val="00342C45"/>
    <w:rsid w:val="00342FC8"/>
    <w:rsid w:val="00343157"/>
    <w:rsid w:val="00343279"/>
    <w:rsid w:val="003432A7"/>
    <w:rsid w:val="003434F8"/>
    <w:rsid w:val="003436C4"/>
    <w:rsid w:val="003436CF"/>
    <w:rsid w:val="00343825"/>
    <w:rsid w:val="003438C7"/>
    <w:rsid w:val="003438EF"/>
    <w:rsid w:val="00343DB9"/>
    <w:rsid w:val="0034431E"/>
    <w:rsid w:val="00344376"/>
    <w:rsid w:val="003447CF"/>
    <w:rsid w:val="00344A3A"/>
    <w:rsid w:val="00344F1D"/>
    <w:rsid w:val="0034669F"/>
    <w:rsid w:val="003467FE"/>
    <w:rsid w:val="00346C7A"/>
    <w:rsid w:val="00346D8D"/>
    <w:rsid w:val="0034704A"/>
    <w:rsid w:val="003474E5"/>
    <w:rsid w:val="003478B2"/>
    <w:rsid w:val="00347DC4"/>
    <w:rsid w:val="00347EB8"/>
    <w:rsid w:val="00350516"/>
    <w:rsid w:val="0035076F"/>
    <w:rsid w:val="0035081F"/>
    <w:rsid w:val="00350D14"/>
    <w:rsid w:val="00351073"/>
    <w:rsid w:val="00351129"/>
    <w:rsid w:val="0035136F"/>
    <w:rsid w:val="0035167F"/>
    <w:rsid w:val="003519CA"/>
    <w:rsid w:val="00351F90"/>
    <w:rsid w:val="00352997"/>
    <w:rsid w:val="00352AAD"/>
    <w:rsid w:val="00352C2D"/>
    <w:rsid w:val="00352C40"/>
    <w:rsid w:val="00352DC9"/>
    <w:rsid w:val="00352DF5"/>
    <w:rsid w:val="00353014"/>
    <w:rsid w:val="00353287"/>
    <w:rsid w:val="0035349D"/>
    <w:rsid w:val="00353983"/>
    <w:rsid w:val="00353B8D"/>
    <w:rsid w:val="00353F97"/>
    <w:rsid w:val="00354589"/>
    <w:rsid w:val="00354740"/>
    <w:rsid w:val="003547DE"/>
    <w:rsid w:val="00354845"/>
    <w:rsid w:val="00354B64"/>
    <w:rsid w:val="00354BBA"/>
    <w:rsid w:val="00354FAB"/>
    <w:rsid w:val="00354FDF"/>
    <w:rsid w:val="00355545"/>
    <w:rsid w:val="003555A1"/>
    <w:rsid w:val="00355C21"/>
    <w:rsid w:val="00355E7C"/>
    <w:rsid w:val="00355F36"/>
    <w:rsid w:val="00356046"/>
    <w:rsid w:val="003560BA"/>
    <w:rsid w:val="0035668D"/>
    <w:rsid w:val="003569C4"/>
    <w:rsid w:val="00356B10"/>
    <w:rsid w:val="00356C6B"/>
    <w:rsid w:val="00357143"/>
    <w:rsid w:val="00357416"/>
    <w:rsid w:val="00357660"/>
    <w:rsid w:val="003577EF"/>
    <w:rsid w:val="00357B86"/>
    <w:rsid w:val="0036050C"/>
    <w:rsid w:val="00360552"/>
    <w:rsid w:val="00360D95"/>
    <w:rsid w:val="00360F5E"/>
    <w:rsid w:val="00361AB5"/>
    <w:rsid w:val="00361D07"/>
    <w:rsid w:val="00361F04"/>
    <w:rsid w:val="00361F1C"/>
    <w:rsid w:val="00361F36"/>
    <w:rsid w:val="003623CC"/>
    <w:rsid w:val="00362516"/>
    <w:rsid w:val="00362564"/>
    <w:rsid w:val="003631C7"/>
    <w:rsid w:val="003634FB"/>
    <w:rsid w:val="0036355E"/>
    <w:rsid w:val="00363585"/>
    <w:rsid w:val="003636DF"/>
    <w:rsid w:val="0036377E"/>
    <w:rsid w:val="00363BE6"/>
    <w:rsid w:val="00363E78"/>
    <w:rsid w:val="00364258"/>
    <w:rsid w:val="00364C62"/>
    <w:rsid w:val="00364DA7"/>
    <w:rsid w:val="00364E0F"/>
    <w:rsid w:val="00364E36"/>
    <w:rsid w:val="003657B5"/>
    <w:rsid w:val="00365CAC"/>
    <w:rsid w:val="00366040"/>
    <w:rsid w:val="00366056"/>
    <w:rsid w:val="0036619E"/>
    <w:rsid w:val="00366516"/>
    <w:rsid w:val="003666EC"/>
    <w:rsid w:val="003666FA"/>
    <w:rsid w:val="00366738"/>
    <w:rsid w:val="00366BEA"/>
    <w:rsid w:val="00366F60"/>
    <w:rsid w:val="003671E5"/>
    <w:rsid w:val="00367245"/>
    <w:rsid w:val="00367797"/>
    <w:rsid w:val="00367A69"/>
    <w:rsid w:val="00367C31"/>
    <w:rsid w:val="003706B0"/>
    <w:rsid w:val="0037088E"/>
    <w:rsid w:val="00370F5C"/>
    <w:rsid w:val="00371081"/>
    <w:rsid w:val="00371AB0"/>
    <w:rsid w:val="003722BC"/>
    <w:rsid w:val="003723CD"/>
    <w:rsid w:val="003727C1"/>
    <w:rsid w:val="00372ACC"/>
    <w:rsid w:val="00372C8F"/>
    <w:rsid w:val="00372DCB"/>
    <w:rsid w:val="003735B8"/>
    <w:rsid w:val="00373797"/>
    <w:rsid w:val="00373C76"/>
    <w:rsid w:val="0037455E"/>
    <w:rsid w:val="00374BE0"/>
    <w:rsid w:val="00374D55"/>
    <w:rsid w:val="003753B3"/>
    <w:rsid w:val="0037558E"/>
    <w:rsid w:val="0037582A"/>
    <w:rsid w:val="00376288"/>
    <w:rsid w:val="0037651D"/>
    <w:rsid w:val="00376B06"/>
    <w:rsid w:val="00376C72"/>
    <w:rsid w:val="00376CA9"/>
    <w:rsid w:val="00376EDE"/>
    <w:rsid w:val="003771F6"/>
    <w:rsid w:val="00377766"/>
    <w:rsid w:val="00377856"/>
    <w:rsid w:val="00377955"/>
    <w:rsid w:val="00377E7F"/>
    <w:rsid w:val="00377EF1"/>
    <w:rsid w:val="003802C7"/>
    <w:rsid w:val="00380546"/>
    <w:rsid w:val="003807EE"/>
    <w:rsid w:val="00380C84"/>
    <w:rsid w:val="00380DAD"/>
    <w:rsid w:val="00380F99"/>
    <w:rsid w:val="0038210C"/>
    <w:rsid w:val="003821F2"/>
    <w:rsid w:val="00382A02"/>
    <w:rsid w:val="0038346A"/>
    <w:rsid w:val="003839A5"/>
    <w:rsid w:val="00383CDC"/>
    <w:rsid w:val="00383D89"/>
    <w:rsid w:val="003840D3"/>
    <w:rsid w:val="0038458C"/>
    <w:rsid w:val="00384A47"/>
    <w:rsid w:val="00384BFC"/>
    <w:rsid w:val="00384D1D"/>
    <w:rsid w:val="00384E55"/>
    <w:rsid w:val="00385233"/>
    <w:rsid w:val="00385443"/>
    <w:rsid w:val="00385979"/>
    <w:rsid w:val="00385A20"/>
    <w:rsid w:val="00385ED8"/>
    <w:rsid w:val="0038629A"/>
    <w:rsid w:val="003864EA"/>
    <w:rsid w:val="00386A24"/>
    <w:rsid w:val="00386D7E"/>
    <w:rsid w:val="00386E21"/>
    <w:rsid w:val="00386EA8"/>
    <w:rsid w:val="00386EB3"/>
    <w:rsid w:val="00387426"/>
    <w:rsid w:val="0038765E"/>
    <w:rsid w:val="00387796"/>
    <w:rsid w:val="00387E19"/>
    <w:rsid w:val="00387F56"/>
    <w:rsid w:val="00390541"/>
    <w:rsid w:val="003906E7"/>
    <w:rsid w:val="00390AA0"/>
    <w:rsid w:val="00390C95"/>
    <w:rsid w:val="003910C8"/>
    <w:rsid w:val="00391113"/>
    <w:rsid w:val="003919CE"/>
    <w:rsid w:val="00391F13"/>
    <w:rsid w:val="003922CE"/>
    <w:rsid w:val="00392864"/>
    <w:rsid w:val="00392990"/>
    <w:rsid w:val="00392A14"/>
    <w:rsid w:val="00392B65"/>
    <w:rsid w:val="00392C36"/>
    <w:rsid w:val="00392CE8"/>
    <w:rsid w:val="00392F7F"/>
    <w:rsid w:val="00392FE5"/>
    <w:rsid w:val="003933AB"/>
    <w:rsid w:val="00393585"/>
    <w:rsid w:val="00393704"/>
    <w:rsid w:val="00394720"/>
    <w:rsid w:val="00394C45"/>
    <w:rsid w:val="00394E88"/>
    <w:rsid w:val="00394F2D"/>
    <w:rsid w:val="003950F1"/>
    <w:rsid w:val="003951E0"/>
    <w:rsid w:val="003952FB"/>
    <w:rsid w:val="00395729"/>
    <w:rsid w:val="00395B67"/>
    <w:rsid w:val="00395D36"/>
    <w:rsid w:val="00395E28"/>
    <w:rsid w:val="00395E65"/>
    <w:rsid w:val="003968A9"/>
    <w:rsid w:val="00396D4A"/>
    <w:rsid w:val="00396EF4"/>
    <w:rsid w:val="0039708F"/>
    <w:rsid w:val="0039723C"/>
    <w:rsid w:val="00397333"/>
    <w:rsid w:val="003975A3"/>
    <w:rsid w:val="003977DC"/>
    <w:rsid w:val="003A009D"/>
    <w:rsid w:val="003A0164"/>
    <w:rsid w:val="003A046B"/>
    <w:rsid w:val="003A060B"/>
    <w:rsid w:val="003A06DE"/>
    <w:rsid w:val="003A0BDF"/>
    <w:rsid w:val="003A0C27"/>
    <w:rsid w:val="003A1D49"/>
    <w:rsid w:val="003A1E02"/>
    <w:rsid w:val="003A1FD7"/>
    <w:rsid w:val="003A233B"/>
    <w:rsid w:val="003A23D7"/>
    <w:rsid w:val="003A2617"/>
    <w:rsid w:val="003A282F"/>
    <w:rsid w:val="003A2C4E"/>
    <w:rsid w:val="003A3504"/>
    <w:rsid w:val="003A371C"/>
    <w:rsid w:val="003A384C"/>
    <w:rsid w:val="003A394D"/>
    <w:rsid w:val="003A396C"/>
    <w:rsid w:val="003A4165"/>
    <w:rsid w:val="003A43D4"/>
    <w:rsid w:val="003A470F"/>
    <w:rsid w:val="003A498E"/>
    <w:rsid w:val="003A4C6E"/>
    <w:rsid w:val="003A4CFB"/>
    <w:rsid w:val="003A4D4C"/>
    <w:rsid w:val="003A4EE2"/>
    <w:rsid w:val="003A4F3D"/>
    <w:rsid w:val="003A503E"/>
    <w:rsid w:val="003A58BD"/>
    <w:rsid w:val="003A59C6"/>
    <w:rsid w:val="003A5A01"/>
    <w:rsid w:val="003A5AF8"/>
    <w:rsid w:val="003A665D"/>
    <w:rsid w:val="003A668C"/>
    <w:rsid w:val="003A676C"/>
    <w:rsid w:val="003A6A0F"/>
    <w:rsid w:val="003A6AA2"/>
    <w:rsid w:val="003A6E47"/>
    <w:rsid w:val="003A780C"/>
    <w:rsid w:val="003A7966"/>
    <w:rsid w:val="003B03E5"/>
    <w:rsid w:val="003B0544"/>
    <w:rsid w:val="003B055A"/>
    <w:rsid w:val="003B0A42"/>
    <w:rsid w:val="003B0D38"/>
    <w:rsid w:val="003B0F50"/>
    <w:rsid w:val="003B1521"/>
    <w:rsid w:val="003B1596"/>
    <w:rsid w:val="003B1B96"/>
    <w:rsid w:val="003B1F8D"/>
    <w:rsid w:val="003B2017"/>
    <w:rsid w:val="003B25AF"/>
    <w:rsid w:val="003B26BF"/>
    <w:rsid w:val="003B29E0"/>
    <w:rsid w:val="003B2B8E"/>
    <w:rsid w:val="003B35C9"/>
    <w:rsid w:val="003B3797"/>
    <w:rsid w:val="003B38C9"/>
    <w:rsid w:val="003B398C"/>
    <w:rsid w:val="003B3A40"/>
    <w:rsid w:val="003B44A7"/>
    <w:rsid w:val="003B47E7"/>
    <w:rsid w:val="003B4A9B"/>
    <w:rsid w:val="003B4C3F"/>
    <w:rsid w:val="003B4F19"/>
    <w:rsid w:val="003B5232"/>
    <w:rsid w:val="003B567D"/>
    <w:rsid w:val="003B57D0"/>
    <w:rsid w:val="003B5DBE"/>
    <w:rsid w:val="003B64F6"/>
    <w:rsid w:val="003B663D"/>
    <w:rsid w:val="003B67EF"/>
    <w:rsid w:val="003B6C53"/>
    <w:rsid w:val="003B7177"/>
    <w:rsid w:val="003B72CB"/>
    <w:rsid w:val="003B72DA"/>
    <w:rsid w:val="003B7814"/>
    <w:rsid w:val="003B7B45"/>
    <w:rsid w:val="003B7C80"/>
    <w:rsid w:val="003B7EA6"/>
    <w:rsid w:val="003B7FD2"/>
    <w:rsid w:val="003C08E4"/>
    <w:rsid w:val="003C0E1A"/>
    <w:rsid w:val="003C1464"/>
    <w:rsid w:val="003C1691"/>
    <w:rsid w:val="003C20BC"/>
    <w:rsid w:val="003C2989"/>
    <w:rsid w:val="003C2E04"/>
    <w:rsid w:val="003C30F3"/>
    <w:rsid w:val="003C30F7"/>
    <w:rsid w:val="003C325D"/>
    <w:rsid w:val="003C3F54"/>
    <w:rsid w:val="003C3FE3"/>
    <w:rsid w:val="003C3FE6"/>
    <w:rsid w:val="003C41A4"/>
    <w:rsid w:val="003C4463"/>
    <w:rsid w:val="003C4BE2"/>
    <w:rsid w:val="003C50EB"/>
    <w:rsid w:val="003C543B"/>
    <w:rsid w:val="003C5C75"/>
    <w:rsid w:val="003C64E6"/>
    <w:rsid w:val="003C6B99"/>
    <w:rsid w:val="003C6FB7"/>
    <w:rsid w:val="003C70C4"/>
    <w:rsid w:val="003C71B0"/>
    <w:rsid w:val="003C727C"/>
    <w:rsid w:val="003C7A85"/>
    <w:rsid w:val="003D0A65"/>
    <w:rsid w:val="003D0C70"/>
    <w:rsid w:val="003D0DAD"/>
    <w:rsid w:val="003D0E63"/>
    <w:rsid w:val="003D0E6F"/>
    <w:rsid w:val="003D1364"/>
    <w:rsid w:val="003D1B4E"/>
    <w:rsid w:val="003D1F2B"/>
    <w:rsid w:val="003D21B8"/>
    <w:rsid w:val="003D235E"/>
    <w:rsid w:val="003D278F"/>
    <w:rsid w:val="003D2D3F"/>
    <w:rsid w:val="003D3240"/>
    <w:rsid w:val="003D3245"/>
    <w:rsid w:val="003D33F2"/>
    <w:rsid w:val="003D3735"/>
    <w:rsid w:val="003D3ADF"/>
    <w:rsid w:val="003D4060"/>
    <w:rsid w:val="003D428A"/>
    <w:rsid w:val="003D44BF"/>
    <w:rsid w:val="003D45C0"/>
    <w:rsid w:val="003D482F"/>
    <w:rsid w:val="003D5226"/>
    <w:rsid w:val="003D5661"/>
    <w:rsid w:val="003D578E"/>
    <w:rsid w:val="003D5A9F"/>
    <w:rsid w:val="003D5B29"/>
    <w:rsid w:val="003D6395"/>
    <w:rsid w:val="003D63EE"/>
    <w:rsid w:val="003D65CB"/>
    <w:rsid w:val="003D674A"/>
    <w:rsid w:val="003D6C06"/>
    <w:rsid w:val="003D6F93"/>
    <w:rsid w:val="003D745C"/>
    <w:rsid w:val="003D74E1"/>
    <w:rsid w:val="003E05C0"/>
    <w:rsid w:val="003E07C5"/>
    <w:rsid w:val="003E0AB9"/>
    <w:rsid w:val="003E130A"/>
    <w:rsid w:val="003E17BE"/>
    <w:rsid w:val="003E196A"/>
    <w:rsid w:val="003E19AB"/>
    <w:rsid w:val="003E1A19"/>
    <w:rsid w:val="003E1A1A"/>
    <w:rsid w:val="003E2141"/>
    <w:rsid w:val="003E2306"/>
    <w:rsid w:val="003E265D"/>
    <w:rsid w:val="003E2A26"/>
    <w:rsid w:val="003E36EE"/>
    <w:rsid w:val="003E3777"/>
    <w:rsid w:val="003E3800"/>
    <w:rsid w:val="003E3969"/>
    <w:rsid w:val="003E3DB8"/>
    <w:rsid w:val="003E3ECE"/>
    <w:rsid w:val="003E41D3"/>
    <w:rsid w:val="003E4300"/>
    <w:rsid w:val="003E5004"/>
    <w:rsid w:val="003E5106"/>
    <w:rsid w:val="003E52BC"/>
    <w:rsid w:val="003E548B"/>
    <w:rsid w:val="003E5AA7"/>
    <w:rsid w:val="003E5CEF"/>
    <w:rsid w:val="003E62EC"/>
    <w:rsid w:val="003E638A"/>
    <w:rsid w:val="003E67E4"/>
    <w:rsid w:val="003E6F06"/>
    <w:rsid w:val="003E76FF"/>
    <w:rsid w:val="003E7A18"/>
    <w:rsid w:val="003E7A2E"/>
    <w:rsid w:val="003E7C97"/>
    <w:rsid w:val="003F071F"/>
    <w:rsid w:val="003F07B3"/>
    <w:rsid w:val="003F07F9"/>
    <w:rsid w:val="003F083F"/>
    <w:rsid w:val="003F09DA"/>
    <w:rsid w:val="003F0A39"/>
    <w:rsid w:val="003F0C39"/>
    <w:rsid w:val="003F19F1"/>
    <w:rsid w:val="003F2006"/>
    <w:rsid w:val="003F212A"/>
    <w:rsid w:val="003F2137"/>
    <w:rsid w:val="003F232C"/>
    <w:rsid w:val="003F2746"/>
    <w:rsid w:val="003F27D0"/>
    <w:rsid w:val="003F2AFB"/>
    <w:rsid w:val="003F305A"/>
    <w:rsid w:val="003F3177"/>
    <w:rsid w:val="003F37C9"/>
    <w:rsid w:val="003F39CD"/>
    <w:rsid w:val="003F3AB2"/>
    <w:rsid w:val="003F3F1E"/>
    <w:rsid w:val="003F40AD"/>
    <w:rsid w:val="003F40FC"/>
    <w:rsid w:val="003F4214"/>
    <w:rsid w:val="003F43E3"/>
    <w:rsid w:val="003F444E"/>
    <w:rsid w:val="003F4654"/>
    <w:rsid w:val="003F47F1"/>
    <w:rsid w:val="003F4A5D"/>
    <w:rsid w:val="003F4B2E"/>
    <w:rsid w:val="003F4ECA"/>
    <w:rsid w:val="003F4F45"/>
    <w:rsid w:val="003F5190"/>
    <w:rsid w:val="003F56A8"/>
    <w:rsid w:val="003F60D5"/>
    <w:rsid w:val="003F612D"/>
    <w:rsid w:val="003F62FF"/>
    <w:rsid w:val="003F6A14"/>
    <w:rsid w:val="003F7211"/>
    <w:rsid w:val="003F73B6"/>
    <w:rsid w:val="003F76D9"/>
    <w:rsid w:val="003F79E0"/>
    <w:rsid w:val="003F7AA9"/>
    <w:rsid w:val="003F7BE7"/>
    <w:rsid w:val="003F7C3F"/>
    <w:rsid w:val="003F7C8E"/>
    <w:rsid w:val="004000C0"/>
    <w:rsid w:val="004000F3"/>
    <w:rsid w:val="00400405"/>
    <w:rsid w:val="00400595"/>
    <w:rsid w:val="00400A60"/>
    <w:rsid w:val="00400AED"/>
    <w:rsid w:val="00400B6A"/>
    <w:rsid w:val="00400E01"/>
    <w:rsid w:val="00401870"/>
    <w:rsid w:val="00401A81"/>
    <w:rsid w:val="00401E7D"/>
    <w:rsid w:val="004023A4"/>
    <w:rsid w:val="00402977"/>
    <w:rsid w:val="00402F53"/>
    <w:rsid w:val="004034D2"/>
    <w:rsid w:val="004046A5"/>
    <w:rsid w:val="00404EAC"/>
    <w:rsid w:val="00404EED"/>
    <w:rsid w:val="00404FF4"/>
    <w:rsid w:val="00405978"/>
    <w:rsid w:val="0040639C"/>
    <w:rsid w:val="004065C6"/>
    <w:rsid w:val="004067A7"/>
    <w:rsid w:val="00406B1C"/>
    <w:rsid w:val="00406D3A"/>
    <w:rsid w:val="00406F5C"/>
    <w:rsid w:val="00407154"/>
    <w:rsid w:val="00407671"/>
    <w:rsid w:val="00410099"/>
    <w:rsid w:val="004107A6"/>
    <w:rsid w:val="004107C2"/>
    <w:rsid w:val="00410A75"/>
    <w:rsid w:val="00410DCD"/>
    <w:rsid w:val="00410DD5"/>
    <w:rsid w:val="00410E0B"/>
    <w:rsid w:val="004117D3"/>
    <w:rsid w:val="00411CF8"/>
    <w:rsid w:val="00411E82"/>
    <w:rsid w:val="0041201C"/>
    <w:rsid w:val="004121D6"/>
    <w:rsid w:val="00412249"/>
    <w:rsid w:val="0041253A"/>
    <w:rsid w:val="00412AC3"/>
    <w:rsid w:val="00412BD1"/>
    <w:rsid w:val="00412E54"/>
    <w:rsid w:val="00413163"/>
    <w:rsid w:val="00413397"/>
    <w:rsid w:val="00413421"/>
    <w:rsid w:val="004137A7"/>
    <w:rsid w:val="00413815"/>
    <w:rsid w:val="00413898"/>
    <w:rsid w:val="00413EB1"/>
    <w:rsid w:val="004143C1"/>
    <w:rsid w:val="0041459C"/>
    <w:rsid w:val="00414893"/>
    <w:rsid w:val="00414F0B"/>
    <w:rsid w:val="00415041"/>
    <w:rsid w:val="0041556F"/>
    <w:rsid w:val="00415616"/>
    <w:rsid w:val="00415F0B"/>
    <w:rsid w:val="00416EDA"/>
    <w:rsid w:val="00417E4C"/>
    <w:rsid w:val="00417F37"/>
    <w:rsid w:val="0042003E"/>
    <w:rsid w:val="004203D1"/>
    <w:rsid w:val="004204BF"/>
    <w:rsid w:val="00420A0B"/>
    <w:rsid w:val="00420AB9"/>
    <w:rsid w:val="00420EDD"/>
    <w:rsid w:val="0042101B"/>
    <w:rsid w:val="00421262"/>
    <w:rsid w:val="00421AF0"/>
    <w:rsid w:val="00421E3E"/>
    <w:rsid w:val="00421F2D"/>
    <w:rsid w:val="00421F86"/>
    <w:rsid w:val="0042207D"/>
    <w:rsid w:val="004227EC"/>
    <w:rsid w:val="00422860"/>
    <w:rsid w:val="00423101"/>
    <w:rsid w:val="00423162"/>
    <w:rsid w:val="004233B2"/>
    <w:rsid w:val="00423A62"/>
    <w:rsid w:val="0042426C"/>
    <w:rsid w:val="00424E39"/>
    <w:rsid w:val="00424E94"/>
    <w:rsid w:val="00425261"/>
    <w:rsid w:val="00425710"/>
    <w:rsid w:val="0042586D"/>
    <w:rsid w:val="004258DD"/>
    <w:rsid w:val="00425AA8"/>
    <w:rsid w:val="0042624B"/>
    <w:rsid w:val="004265F8"/>
    <w:rsid w:val="00427238"/>
    <w:rsid w:val="004272C9"/>
    <w:rsid w:val="004279AF"/>
    <w:rsid w:val="00427BA9"/>
    <w:rsid w:val="00427DDD"/>
    <w:rsid w:val="00427ED6"/>
    <w:rsid w:val="004302C6"/>
    <w:rsid w:val="0043034D"/>
    <w:rsid w:val="004307C9"/>
    <w:rsid w:val="004308E7"/>
    <w:rsid w:val="00430C31"/>
    <w:rsid w:val="00430FF1"/>
    <w:rsid w:val="00431118"/>
    <w:rsid w:val="0043119F"/>
    <w:rsid w:val="0043145F"/>
    <w:rsid w:val="00431659"/>
    <w:rsid w:val="00431C91"/>
    <w:rsid w:val="00432128"/>
    <w:rsid w:val="00432335"/>
    <w:rsid w:val="00432557"/>
    <w:rsid w:val="00433187"/>
    <w:rsid w:val="004331ED"/>
    <w:rsid w:val="00433371"/>
    <w:rsid w:val="00433734"/>
    <w:rsid w:val="00433945"/>
    <w:rsid w:val="00433D21"/>
    <w:rsid w:val="00433D9E"/>
    <w:rsid w:val="0043480E"/>
    <w:rsid w:val="0043487F"/>
    <w:rsid w:val="00434DD2"/>
    <w:rsid w:val="00434F6F"/>
    <w:rsid w:val="00435464"/>
    <w:rsid w:val="004356EA"/>
    <w:rsid w:val="00435CFF"/>
    <w:rsid w:val="00435DEA"/>
    <w:rsid w:val="00435F96"/>
    <w:rsid w:val="0043614C"/>
    <w:rsid w:val="00436680"/>
    <w:rsid w:val="00436C08"/>
    <w:rsid w:val="00436FF9"/>
    <w:rsid w:val="004375EA"/>
    <w:rsid w:val="00437CDC"/>
    <w:rsid w:val="00440189"/>
    <w:rsid w:val="0044061B"/>
    <w:rsid w:val="00440EFB"/>
    <w:rsid w:val="00440FFF"/>
    <w:rsid w:val="004411C1"/>
    <w:rsid w:val="0044133A"/>
    <w:rsid w:val="0044157D"/>
    <w:rsid w:val="004417E3"/>
    <w:rsid w:val="00441C19"/>
    <w:rsid w:val="00441E9F"/>
    <w:rsid w:val="00442237"/>
    <w:rsid w:val="00442344"/>
    <w:rsid w:val="00442520"/>
    <w:rsid w:val="004428A6"/>
    <w:rsid w:val="004428C8"/>
    <w:rsid w:val="00442991"/>
    <w:rsid w:val="00442B0F"/>
    <w:rsid w:val="00442D83"/>
    <w:rsid w:val="00442E16"/>
    <w:rsid w:val="0044333B"/>
    <w:rsid w:val="0044362C"/>
    <w:rsid w:val="004439B8"/>
    <w:rsid w:val="00443F1C"/>
    <w:rsid w:val="0044417B"/>
    <w:rsid w:val="0044420E"/>
    <w:rsid w:val="004443AD"/>
    <w:rsid w:val="0044458A"/>
    <w:rsid w:val="00445988"/>
    <w:rsid w:val="00445F23"/>
    <w:rsid w:val="00446124"/>
    <w:rsid w:val="004464A8"/>
    <w:rsid w:val="00446A5A"/>
    <w:rsid w:val="00446AB4"/>
    <w:rsid w:val="00446B9A"/>
    <w:rsid w:val="004470C2"/>
    <w:rsid w:val="00447204"/>
    <w:rsid w:val="0044720C"/>
    <w:rsid w:val="0044770E"/>
    <w:rsid w:val="0044774D"/>
    <w:rsid w:val="00447935"/>
    <w:rsid w:val="00447C77"/>
    <w:rsid w:val="00447DFF"/>
    <w:rsid w:val="00450334"/>
    <w:rsid w:val="00450568"/>
    <w:rsid w:val="00450FFC"/>
    <w:rsid w:val="004514F5"/>
    <w:rsid w:val="00451DB4"/>
    <w:rsid w:val="004520F8"/>
    <w:rsid w:val="0045218E"/>
    <w:rsid w:val="0045243A"/>
    <w:rsid w:val="00452E06"/>
    <w:rsid w:val="004533B8"/>
    <w:rsid w:val="0045378A"/>
    <w:rsid w:val="00453F75"/>
    <w:rsid w:val="0045412E"/>
    <w:rsid w:val="00454388"/>
    <w:rsid w:val="004547D7"/>
    <w:rsid w:val="00455BAC"/>
    <w:rsid w:val="00455CFB"/>
    <w:rsid w:val="00455D68"/>
    <w:rsid w:val="00455EBC"/>
    <w:rsid w:val="004568E8"/>
    <w:rsid w:val="0045693C"/>
    <w:rsid w:val="00456AEB"/>
    <w:rsid w:val="00456C41"/>
    <w:rsid w:val="00456C9D"/>
    <w:rsid w:val="0045717E"/>
    <w:rsid w:val="004572EF"/>
    <w:rsid w:val="00457303"/>
    <w:rsid w:val="004573D0"/>
    <w:rsid w:val="00457CD3"/>
    <w:rsid w:val="00460429"/>
    <w:rsid w:val="00460636"/>
    <w:rsid w:val="00460D5D"/>
    <w:rsid w:val="00460F6D"/>
    <w:rsid w:val="00461540"/>
    <w:rsid w:val="0046162D"/>
    <w:rsid w:val="00462C06"/>
    <w:rsid w:val="00462C90"/>
    <w:rsid w:val="00462D03"/>
    <w:rsid w:val="004631D4"/>
    <w:rsid w:val="004633D3"/>
    <w:rsid w:val="00463797"/>
    <w:rsid w:val="00463BDB"/>
    <w:rsid w:val="00463C95"/>
    <w:rsid w:val="00464193"/>
    <w:rsid w:val="004642A9"/>
    <w:rsid w:val="0046456F"/>
    <w:rsid w:val="00464677"/>
    <w:rsid w:val="004650FA"/>
    <w:rsid w:val="00465442"/>
    <w:rsid w:val="00465542"/>
    <w:rsid w:val="00465748"/>
    <w:rsid w:val="00465EAC"/>
    <w:rsid w:val="00465F80"/>
    <w:rsid w:val="0046651C"/>
    <w:rsid w:val="0046695D"/>
    <w:rsid w:val="00466B4E"/>
    <w:rsid w:val="00466EC7"/>
    <w:rsid w:val="00467562"/>
    <w:rsid w:val="00467713"/>
    <w:rsid w:val="004679A3"/>
    <w:rsid w:val="00467DBA"/>
    <w:rsid w:val="004704CF"/>
    <w:rsid w:val="00470A02"/>
    <w:rsid w:val="00470F2D"/>
    <w:rsid w:val="00471CEC"/>
    <w:rsid w:val="00471D7F"/>
    <w:rsid w:val="004720E2"/>
    <w:rsid w:val="00472DD1"/>
    <w:rsid w:val="004738BF"/>
    <w:rsid w:val="004744AA"/>
    <w:rsid w:val="004747EC"/>
    <w:rsid w:val="00474985"/>
    <w:rsid w:val="00474DEF"/>
    <w:rsid w:val="00474F68"/>
    <w:rsid w:val="004752A3"/>
    <w:rsid w:val="004753CB"/>
    <w:rsid w:val="00475EDA"/>
    <w:rsid w:val="00475FF0"/>
    <w:rsid w:val="00476130"/>
    <w:rsid w:val="0047666E"/>
    <w:rsid w:val="00476C5E"/>
    <w:rsid w:val="0047766E"/>
    <w:rsid w:val="00477A66"/>
    <w:rsid w:val="00477B5E"/>
    <w:rsid w:val="00480165"/>
    <w:rsid w:val="004802C5"/>
    <w:rsid w:val="00480864"/>
    <w:rsid w:val="0048150C"/>
    <w:rsid w:val="00481B38"/>
    <w:rsid w:val="00481D88"/>
    <w:rsid w:val="00482B73"/>
    <w:rsid w:val="00482EBB"/>
    <w:rsid w:val="00482FD4"/>
    <w:rsid w:val="00483049"/>
    <w:rsid w:val="00483F63"/>
    <w:rsid w:val="0048400A"/>
    <w:rsid w:val="00484A38"/>
    <w:rsid w:val="00484B01"/>
    <w:rsid w:val="00484C42"/>
    <w:rsid w:val="00484E2A"/>
    <w:rsid w:val="00484E5D"/>
    <w:rsid w:val="004852CE"/>
    <w:rsid w:val="004854CA"/>
    <w:rsid w:val="0048560B"/>
    <w:rsid w:val="00485988"/>
    <w:rsid w:val="004859BA"/>
    <w:rsid w:val="00486B23"/>
    <w:rsid w:val="00486FE7"/>
    <w:rsid w:val="00487E0E"/>
    <w:rsid w:val="0049023A"/>
    <w:rsid w:val="00490919"/>
    <w:rsid w:val="00490A4C"/>
    <w:rsid w:val="00490F2C"/>
    <w:rsid w:val="00490FA5"/>
    <w:rsid w:val="00490FBB"/>
    <w:rsid w:val="00491405"/>
    <w:rsid w:val="0049144A"/>
    <w:rsid w:val="00492584"/>
    <w:rsid w:val="004925AF"/>
    <w:rsid w:val="00492960"/>
    <w:rsid w:val="00492991"/>
    <w:rsid w:val="00492F21"/>
    <w:rsid w:val="00492F6A"/>
    <w:rsid w:val="00492FD9"/>
    <w:rsid w:val="004933D8"/>
    <w:rsid w:val="00493426"/>
    <w:rsid w:val="00493428"/>
    <w:rsid w:val="0049387F"/>
    <w:rsid w:val="00493F00"/>
    <w:rsid w:val="00493FB6"/>
    <w:rsid w:val="00494E2A"/>
    <w:rsid w:val="00495744"/>
    <w:rsid w:val="00495812"/>
    <w:rsid w:val="00495C41"/>
    <w:rsid w:val="00496128"/>
    <w:rsid w:val="004964C4"/>
    <w:rsid w:val="00496BCD"/>
    <w:rsid w:val="00496F1E"/>
    <w:rsid w:val="0049710C"/>
    <w:rsid w:val="0049724A"/>
    <w:rsid w:val="004972C3"/>
    <w:rsid w:val="004972E6"/>
    <w:rsid w:val="004972EF"/>
    <w:rsid w:val="00497311"/>
    <w:rsid w:val="00497517"/>
    <w:rsid w:val="004978F2"/>
    <w:rsid w:val="00497DC6"/>
    <w:rsid w:val="004A0140"/>
    <w:rsid w:val="004A05BC"/>
    <w:rsid w:val="004A0A4B"/>
    <w:rsid w:val="004A12CD"/>
    <w:rsid w:val="004A13A3"/>
    <w:rsid w:val="004A1446"/>
    <w:rsid w:val="004A14B1"/>
    <w:rsid w:val="004A18C5"/>
    <w:rsid w:val="004A1993"/>
    <w:rsid w:val="004A219C"/>
    <w:rsid w:val="004A223A"/>
    <w:rsid w:val="004A233D"/>
    <w:rsid w:val="004A2449"/>
    <w:rsid w:val="004A2E27"/>
    <w:rsid w:val="004A2E9C"/>
    <w:rsid w:val="004A2FB9"/>
    <w:rsid w:val="004A2FBB"/>
    <w:rsid w:val="004A331C"/>
    <w:rsid w:val="004A38F3"/>
    <w:rsid w:val="004A39F9"/>
    <w:rsid w:val="004A3A1E"/>
    <w:rsid w:val="004A3A72"/>
    <w:rsid w:val="004A41F4"/>
    <w:rsid w:val="004A43BA"/>
    <w:rsid w:val="004A4418"/>
    <w:rsid w:val="004A4909"/>
    <w:rsid w:val="004A4A17"/>
    <w:rsid w:val="004A4ADA"/>
    <w:rsid w:val="004A4FB5"/>
    <w:rsid w:val="004A5208"/>
    <w:rsid w:val="004A5444"/>
    <w:rsid w:val="004A55E1"/>
    <w:rsid w:val="004A57BE"/>
    <w:rsid w:val="004A59B9"/>
    <w:rsid w:val="004A6535"/>
    <w:rsid w:val="004A686F"/>
    <w:rsid w:val="004A689C"/>
    <w:rsid w:val="004A6D71"/>
    <w:rsid w:val="004A6F07"/>
    <w:rsid w:val="004A7324"/>
    <w:rsid w:val="004B03F9"/>
    <w:rsid w:val="004B09EB"/>
    <w:rsid w:val="004B0C17"/>
    <w:rsid w:val="004B0C65"/>
    <w:rsid w:val="004B0F28"/>
    <w:rsid w:val="004B1229"/>
    <w:rsid w:val="004B1957"/>
    <w:rsid w:val="004B1AF7"/>
    <w:rsid w:val="004B1EEA"/>
    <w:rsid w:val="004B214C"/>
    <w:rsid w:val="004B22C7"/>
    <w:rsid w:val="004B23A5"/>
    <w:rsid w:val="004B259A"/>
    <w:rsid w:val="004B26FF"/>
    <w:rsid w:val="004B2C5D"/>
    <w:rsid w:val="004B2F07"/>
    <w:rsid w:val="004B34FE"/>
    <w:rsid w:val="004B3744"/>
    <w:rsid w:val="004B4117"/>
    <w:rsid w:val="004B4531"/>
    <w:rsid w:val="004B4ED5"/>
    <w:rsid w:val="004B5202"/>
    <w:rsid w:val="004B53A0"/>
    <w:rsid w:val="004B55B9"/>
    <w:rsid w:val="004B5D0E"/>
    <w:rsid w:val="004B5F81"/>
    <w:rsid w:val="004B5FA0"/>
    <w:rsid w:val="004B6514"/>
    <w:rsid w:val="004B69A5"/>
    <w:rsid w:val="004B6BA4"/>
    <w:rsid w:val="004B6DCE"/>
    <w:rsid w:val="004B733F"/>
    <w:rsid w:val="004B79DD"/>
    <w:rsid w:val="004B7B85"/>
    <w:rsid w:val="004B7BF9"/>
    <w:rsid w:val="004B7D43"/>
    <w:rsid w:val="004C01F8"/>
    <w:rsid w:val="004C02DB"/>
    <w:rsid w:val="004C0366"/>
    <w:rsid w:val="004C0371"/>
    <w:rsid w:val="004C05AF"/>
    <w:rsid w:val="004C07B7"/>
    <w:rsid w:val="004C07CE"/>
    <w:rsid w:val="004C0AB6"/>
    <w:rsid w:val="004C0C46"/>
    <w:rsid w:val="004C0E10"/>
    <w:rsid w:val="004C1636"/>
    <w:rsid w:val="004C1B9D"/>
    <w:rsid w:val="004C23B3"/>
    <w:rsid w:val="004C242A"/>
    <w:rsid w:val="004C2665"/>
    <w:rsid w:val="004C26A5"/>
    <w:rsid w:val="004C2C5E"/>
    <w:rsid w:val="004C2D4D"/>
    <w:rsid w:val="004C3203"/>
    <w:rsid w:val="004C39C6"/>
    <w:rsid w:val="004C44E7"/>
    <w:rsid w:val="004C4629"/>
    <w:rsid w:val="004C4736"/>
    <w:rsid w:val="004C4E93"/>
    <w:rsid w:val="004C4F02"/>
    <w:rsid w:val="004C4F75"/>
    <w:rsid w:val="004C5701"/>
    <w:rsid w:val="004C5C47"/>
    <w:rsid w:val="004C5CE7"/>
    <w:rsid w:val="004C5FC1"/>
    <w:rsid w:val="004C6739"/>
    <w:rsid w:val="004C6A71"/>
    <w:rsid w:val="004C6BEC"/>
    <w:rsid w:val="004C6F7C"/>
    <w:rsid w:val="004C7458"/>
    <w:rsid w:val="004C7FC0"/>
    <w:rsid w:val="004CA7A4"/>
    <w:rsid w:val="004D0E01"/>
    <w:rsid w:val="004D1039"/>
    <w:rsid w:val="004D14B3"/>
    <w:rsid w:val="004D17CC"/>
    <w:rsid w:val="004D1AE8"/>
    <w:rsid w:val="004D1D50"/>
    <w:rsid w:val="004D2BAD"/>
    <w:rsid w:val="004D2EB1"/>
    <w:rsid w:val="004D2FDE"/>
    <w:rsid w:val="004D340F"/>
    <w:rsid w:val="004D3455"/>
    <w:rsid w:val="004D3E83"/>
    <w:rsid w:val="004D482A"/>
    <w:rsid w:val="004D4C5F"/>
    <w:rsid w:val="004D4FEF"/>
    <w:rsid w:val="004D51A3"/>
    <w:rsid w:val="004D548F"/>
    <w:rsid w:val="004D568C"/>
    <w:rsid w:val="004D576B"/>
    <w:rsid w:val="004D58CB"/>
    <w:rsid w:val="004D5A18"/>
    <w:rsid w:val="004D615B"/>
    <w:rsid w:val="004D6335"/>
    <w:rsid w:val="004D6A2C"/>
    <w:rsid w:val="004D6D93"/>
    <w:rsid w:val="004D7001"/>
    <w:rsid w:val="004D705D"/>
    <w:rsid w:val="004D74E1"/>
    <w:rsid w:val="004D7AC2"/>
    <w:rsid w:val="004D7B37"/>
    <w:rsid w:val="004D7B64"/>
    <w:rsid w:val="004E0148"/>
    <w:rsid w:val="004E04AE"/>
    <w:rsid w:val="004E075E"/>
    <w:rsid w:val="004E0891"/>
    <w:rsid w:val="004E1031"/>
    <w:rsid w:val="004E124C"/>
    <w:rsid w:val="004E1B4F"/>
    <w:rsid w:val="004E1DB5"/>
    <w:rsid w:val="004E1FC1"/>
    <w:rsid w:val="004E2905"/>
    <w:rsid w:val="004E2C4B"/>
    <w:rsid w:val="004E3478"/>
    <w:rsid w:val="004E3495"/>
    <w:rsid w:val="004E3ABF"/>
    <w:rsid w:val="004E3B45"/>
    <w:rsid w:val="004E3DA3"/>
    <w:rsid w:val="004E4444"/>
    <w:rsid w:val="004E45EC"/>
    <w:rsid w:val="004E50EF"/>
    <w:rsid w:val="004E52B6"/>
    <w:rsid w:val="004E5418"/>
    <w:rsid w:val="004E5459"/>
    <w:rsid w:val="004E56EA"/>
    <w:rsid w:val="004E56F8"/>
    <w:rsid w:val="004E5E7E"/>
    <w:rsid w:val="004E61A3"/>
    <w:rsid w:val="004E628C"/>
    <w:rsid w:val="004E6803"/>
    <w:rsid w:val="004E6A06"/>
    <w:rsid w:val="004E6AEB"/>
    <w:rsid w:val="004E7B90"/>
    <w:rsid w:val="004E7FF2"/>
    <w:rsid w:val="004F02B2"/>
    <w:rsid w:val="004F0432"/>
    <w:rsid w:val="004F06DA"/>
    <w:rsid w:val="004F19B9"/>
    <w:rsid w:val="004F1A31"/>
    <w:rsid w:val="004F1BFA"/>
    <w:rsid w:val="004F1C78"/>
    <w:rsid w:val="004F2FAE"/>
    <w:rsid w:val="004F32F2"/>
    <w:rsid w:val="004F3559"/>
    <w:rsid w:val="004F378E"/>
    <w:rsid w:val="004F3D88"/>
    <w:rsid w:val="004F3E0F"/>
    <w:rsid w:val="004F4465"/>
    <w:rsid w:val="004F4571"/>
    <w:rsid w:val="004F49F5"/>
    <w:rsid w:val="004F4A22"/>
    <w:rsid w:val="004F4A5A"/>
    <w:rsid w:val="004F5980"/>
    <w:rsid w:val="004F5AF4"/>
    <w:rsid w:val="004F5B4D"/>
    <w:rsid w:val="004F5FC7"/>
    <w:rsid w:val="004F5FDD"/>
    <w:rsid w:val="004F7164"/>
    <w:rsid w:val="004F7184"/>
    <w:rsid w:val="004F728E"/>
    <w:rsid w:val="004F7291"/>
    <w:rsid w:val="004F7561"/>
    <w:rsid w:val="004F758D"/>
    <w:rsid w:val="004F769E"/>
    <w:rsid w:val="004F76FA"/>
    <w:rsid w:val="004F776F"/>
    <w:rsid w:val="004F7B00"/>
    <w:rsid w:val="005001F0"/>
    <w:rsid w:val="0050027C"/>
    <w:rsid w:val="00500630"/>
    <w:rsid w:val="005006DC"/>
    <w:rsid w:val="005006F4"/>
    <w:rsid w:val="00500E0A"/>
    <w:rsid w:val="005014E0"/>
    <w:rsid w:val="00501791"/>
    <w:rsid w:val="00501906"/>
    <w:rsid w:val="00502665"/>
    <w:rsid w:val="0050269C"/>
    <w:rsid w:val="005033DA"/>
    <w:rsid w:val="005038C2"/>
    <w:rsid w:val="00503BE2"/>
    <w:rsid w:val="00504252"/>
    <w:rsid w:val="0050426A"/>
    <w:rsid w:val="005043D0"/>
    <w:rsid w:val="0050497F"/>
    <w:rsid w:val="00504C19"/>
    <w:rsid w:val="00504E7B"/>
    <w:rsid w:val="00504F68"/>
    <w:rsid w:val="00505684"/>
    <w:rsid w:val="00505A62"/>
    <w:rsid w:val="00505C2C"/>
    <w:rsid w:val="0050640E"/>
    <w:rsid w:val="00506A59"/>
    <w:rsid w:val="00506D25"/>
    <w:rsid w:val="00506FB3"/>
    <w:rsid w:val="00506FD0"/>
    <w:rsid w:val="00507709"/>
    <w:rsid w:val="00507847"/>
    <w:rsid w:val="005078CB"/>
    <w:rsid w:val="00507A96"/>
    <w:rsid w:val="00510911"/>
    <w:rsid w:val="00510C7C"/>
    <w:rsid w:val="00510CAE"/>
    <w:rsid w:val="00510CF3"/>
    <w:rsid w:val="005111F5"/>
    <w:rsid w:val="0051131D"/>
    <w:rsid w:val="0051133A"/>
    <w:rsid w:val="00511A0B"/>
    <w:rsid w:val="00511A81"/>
    <w:rsid w:val="00511C5F"/>
    <w:rsid w:val="00511D02"/>
    <w:rsid w:val="00511D3C"/>
    <w:rsid w:val="00511E34"/>
    <w:rsid w:val="00512220"/>
    <w:rsid w:val="005123D0"/>
    <w:rsid w:val="00512527"/>
    <w:rsid w:val="0051265B"/>
    <w:rsid w:val="00512EEF"/>
    <w:rsid w:val="00512F60"/>
    <w:rsid w:val="00513C0A"/>
    <w:rsid w:val="00513C4D"/>
    <w:rsid w:val="00513D8E"/>
    <w:rsid w:val="00514223"/>
    <w:rsid w:val="005148C2"/>
    <w:rsid w:val="00514C5E"/>
    <w:rsid w:val="00514D62"/>
    <w:rsid w:val="005154D7"/>
    <w:rsid w:val="0051563A"/>
    <w:rsid w:val="0051579E"/>
    <w:rsid w:val="005158C5"/>
    <w:rsid w:val="00515A99"/>
    <w:rsid w:val="00515C55"/>
    <w:rsid w:val="005174CA"/>
    <w:rsid w:val="00517D76"/>
    <w:rsid w:val="00517DDD"/>
    <w:rsid w:val="0052071A"/>
    <w:rsid w:val="00520F0C"/>
    <w:rsid w:val="005219E3"/>
    <w:rsid w:val="00521A24"/>
    <w:rsid w:val="00522580"/>
    <w:rsid w:val="005227B4"/>
    <w:rsid w:val="005228DF"/>
    <w:rsid w:val="005235C7"/>
    <w:rsid w:val="005236FC"/>
    <w:rsid w:val="0052379F"/>
    <w:rsid w:val="0052384A"/>
    <w:rsid w:val="005241B7"/>
    <w:rsid w:val="005243C9"/>
    <w:rsid w:val="005247EE"/>
    <w:rsid w:val="0052498A"/>
    <w:rsid w:val="00524CFD"/>
    <w:rsid w:val="00524FEB"/>
    <w:rsid w:val="00525705"/>
    <w:rsid w:val="005258D6"/>
    <w:rsid w:val="005258F4"/>
    <w:rsid w:val="00525EC5"/>
    <w:rsid w:val="005261DD"/>
    <w:rsid w:val="005263A2"/>
    <w:rsid w:val="0052679D"/>
    <w:rsid w:val="00526D4E"/>
    <w:rsid w:val="00527411"/>
    <w:rsid w:val="00527521"/>
    <w:rsid w:val="0052756B"/>
    <w:rsid w:val="00527CED"/>
    <w:rsid w:val="00527EFF"/>
    <w:rsid w:val="00530219"/>
    <w:rsid w:val="00530732"/>
    <w:rsid w:val="00530992"/>
    <w:rsid w:val="005318A5"/>
    <w:rsid w:val="0053195A"/>
    <w:rsid w:val="00531DFA"/>
    <w:rsid w:val="00531F5A"/>
    <w:rsid w:val="0053206D"/>
    <w:rsid w:val="00532418"/>
    <w:rsid w:val="00532989"/>
    <w:rsid w:val="00532B42"/>
    <w:rsid w:val="00532FD7"/>
    <w:rsid w:val="005334F8"/>
    <w:rsid w:val="005336BA"/>
    <w:rsid w:val="00533999"/>
    <w:rsid w:val="00533ABC"/>
    <w:rsid w:val="00533DFC"/>
    <w:rsid w:val="00533FDB"/>
    <w:rsid w:val="005344AC"/>
    <w:rsid w:val="0053489C"/>
    <w:rsid w:val="00534955"/>
    <w:rsid w:val="00534972"/>
    <w:rsid w:val="00534A89"/>
    <w:rsid w:val="005355DE"/>
    <w:rsid w:val="00535C1D"/>
    <w:rsid w:val="00535D07"/>
    <w:rsid w:val="00536714"/>
    <w:rsid w:val="005367F7"/>
    <w:rsid w:val="0053682D"/>
    <w:rsid w:val="0053695F"/>
    <w:rsid w:val="00536CA5"/>
    <w:rsid w:val="00536E05"/>
    <w:rsid w:val="005370CC"/>
    <w:rsid w:val="00537331"/>
    <w:rsid w:val="00537879"/>
    <w:rsid w:val="0054011F"/>
    <w:rsid w:val="00540127"/>
    <w:rsid w:val="00540442"/>
    <w:rsid w:val="005408B3"/>
    <w:rsid w:val="005409C0"/>
    <w:rsid w:val="005410C7"/>
    <w:rsid w:val="00541145"/>
    <w:rsid w:val="0054145C"/>
    <w:rsid w:val="0054158E"/>
    <w:rsid w:val="00541793"/>
    <w:rsid w:val="00541B83"/>
    <w:rsid w:val="00541BF6"/>
    <w:rsid w:val="00542925"/>
    <w:rsid w:val="00542CEC"/>
    <w:rsid w:val="00542F2D"/>
    <w:rsid w:val="00543927"/>
    <w:rsid w:val="00543AFA"/>
    <w:rsid w:val="00543EFB"/>
    <w:rsid w:val="00544961"/>
    <w:rsid w:val="00545889"/>
    <w:rsid w:val="00545B8C"/>
    <w:rsid w:val="00545BEB"/>
    <w:rsid w:val="0054632B"/>
    <w:rsid w:val="005463DD"/>
    <w:rsid w:val="00546698"/>
    <w:rsid w:val="005468AE"/>
    <w:rsid w:val="00546BDF"/>
    <w:rsid w:val="00546ED2"/>
    <w:rsid w:val="0054717C"/>
    <w:rsid w:val="00547594"/>
    <w:rsid w:val="00550287"/>
    <w:rsid w:val="00550E88"/>
    <w:rsid w:val="00550F03"/>
    <w:rsid w:val="00550F30"/>
    <w:rsid w:val="005514B5"/>
    <w:rsid w:val="00551999"/>
    <w:rsid w:val="00552409"/>
    <w:rsid w:val="00552893"/>
    <w:rsid w:val="00552B79"/>
    <w:rsid w:val="00552CC8"/>
    <w:rsid w:val="00552F12"/>
    <w:rsid w:val="005530FF"/>
    <w:rsid w:val="005531F3"/>
    <w:rsid w:val="00553438"/>
    <w:rsid w:val="00553493"/>
    <w:rsid w:val="00553958"/>
    <w:rsid w:val="00553A34"/>
    <w:rsid w:val="00553AAB"/>
    <w:rsid w:val="00553D61"/>
    <w:rsid w:val="00553E35"/>
    <w:rsid w:val="0055424F"/>
    <w:rsid w:val="00554286"/>
    <w:rsid w:val="00554389"/>
    <w:rsid w:val="0055465A"/>
    <w:rsid w:val="00554795"/>
    <w:rsid w:val="00554A93"/>
    <w:rsid w:val="00554E6C"/>
    <w:rsid w:val="00555089"/>
    <w:rsid w:val="005555B0"/>
    <w:rsid w:val="00555806"/>
    <w:rsid w:val="00555874"/>
    <w:rsid w:val="005564F9"/>
    <w:rsid w:val="0055657A"/>
    <w:rsid w:val="00556A1A"/>
    <w:rsid w:val="00556A4B"/>
    <w:rsid w:val="00556B32"/>
    <w:rsid w:val="00557215"/>
    <w:rsid w:val="00557672"/>
    <w:rsid w:val="00557E73"/>
    <w:rsid w:val="00557F76"/>
    <w:rsid w:val="005601FB"/>
    <w:rsid w:val="00560B21"/>
    <w:rsid w:val="00560C5C"/>
    <w:rsid w:val="00561464"/>
    <w:rsid w:val="00561624"/>
    <w:rsid w:val="0056198C"/>
    <w:rsid w:val="00561AEB"/>
    <w:rsid w:val="00561DE2"/>
    <w:rsid w:val="00562409"/>
    <w:rsid w:val="005628EA"/>
    <w:rsid w:val="00562A65"/>
    <w:rsid w:val="00562E78"/>
    <w:rsid w:val="00562E9B"/>
    <w:rsid w:val="005630B2"/>
    <w:rsid w:val="005637AC"/>
    <w:rsid w:val="005638BF"/>
    <w:rsid w:val="00563D7B"/>
    <w:rsid w:val="00564233"/>
    <w:rsid w:val="00564398"/>
    <w:rsid w:val="00564848"/>
    <w:rsid w:val="00564E3A"/>
    <w:rsid w:val="00564F79"/>
    <w:rsid w:val="00565188"/>
    <w:rsid w:val="005652C2"/>
    <w:rsid w:val="00565B5C"/>
    <w:rsid w:val="00566107"/>
    <w:rsid w:val="00566B29"/>
    <w:rsid w:val="00566BA0"/>
    <w:rsid w:val="00566D37"/>
    <w:rsid w:val="005671E7"/>
    <w:rsid w:val="005672AE"/>
    <w:rsid w:val="0056736E"/>
    <w:rsid w:val="00567897"/>
    <w:rsid w:val="00567A40"/>
    <w:rsid w:val="0057028F"/>
    <w:rsid w:val="00570410"/>
    <w:rsid w:val="0057087B"/>
    <w:rsid w:val="005708F5"/>
    <w:rsid w:val="00570C4C"/>
    <w:rsid w:val="0057145F"/>
    <w:rsid w:val="00571654"/>
    <w:rsid w:val="005716BD"/>
    <w:rsid w:val="00571831"/>
    <w:rsid w:val="00571AD7"/>
    <w:rsid w:val="00572000"/>
    <w:rsid w:val="005721B0"/>
    <w:rsid w:val="005722C8"/>
    <w:rsid w:val="005723CF"/>
    <w:rsid w:val="005729C7"/>
    <w:rsid w:val="00572F82"/>
    <w:rsid w:val="005732AE"/>
    <w:rsid w:val="005735FE"/>
    <w:rsid w:val="0057389A"/>
    <w:rsid w:val="0057396B"/>
    <w:rsid w:val="00573A2B"/>
    <w:rsid w:val="00573F8C"/>
    <w:rsid w:val="00574125"/>
    <w:rsid w:val="005754F3"/>
    <w:rsid w:val="00575967"/>
    <w:rsid w:val="00575BBA"/>
    <w:rsid w:val="00576595"/>
    <w:rsid w:val="00576D11"/>
    <w:rsid w:val="00576DE7"/>
    <w:rsid w:val="005771DC"/>
    <w:rsid w:val="005771FB"/>
    <w:rsid w:val="00577228"/>
    <w:rsid w:val="005776F3"/>
    <w:rsid w:val="00577EFF"/>
    <w:rsid w:val="0058032B"/>
    <w:rsid w:val="00580610"/>
    <w:rsid w:val="00580DDB"/>
    <w:rsid w:val="00580EDF"/>
    <w:rsid w:val="00580F5B"/>
    <w:rsid w:val="005812C6"/>
    <w:rsid w:val="0058133D"/>
    <w:rsid w:val="00581490"/>
    <w:rsid w:val="005817D6"/>
    <w:rsid w:val="00581823"/>
    <w:rsid w:val="00581965"/>
    <w:rsid w:val="00581990"/>
    <w:rsid w:val="00581A8A"/>
    <w:rsid w:val="00581B0C"/>
    <w:rsid w:val="00581BCA"/>
    <w:rsid w:val="00581F61"/>
    <w:rsid w:val="005820AF"/>
    <w:rsid w:val="00582A33"/>
    <w:rsid w:val="00582B44"/>
    <w:rsid w:val="00582C18"/>
    <w:rsid w:val="00582DC1"/>
    <w:rsid w:val="00582F9E"/>
    <w:rsid w:val="005830AF"/>
    <w:rsid w:val="00583291"/>
    <w:rsid w:val="00583305"/>
    <w:rsid w:val="00583B61"/>
    <w:rsid w:val="00583DED"/>
    <w:rsid w:val="0058408B"/>
    <w:rsid w:val="005847C6"/>
    <w:rsid w:val="00584D99"/>
    <w:rsid w:val="00584DB3"/>
    <w:rsid w:val="00585016"/>
    <w:rsid w:val="00585368"/>
    <w:rsid w:val="00585E67"/>
    <w:rsid w:val="00585EF8"/>
    <w:rsid w:val="00586710"/>
    <w:rsid w:val="00587479"/>
    <w:rsid w:val="00587942"/>
    <w:rsid w:val="00590426"/>
    <w:rsid w:val="00590AF9"/>
    <w:rsid w:val="00590D08"/>
    <w:rsid w:val="00591848"/>
    <w:rsid w:val="00591991"/>
    <w:rsid w:val="00591E31"/>
    <w:rsid w:val="00591F27"/>
    <w:rsid w:val="00592645"/>
    <w:rsid w:val="00592719"/>
    <w:rsid w:val="00592D92"/>
    <w:rsid w:val="00592E95"/>
    <w:rsid w:val="0059368D"/>
    <w:rsid w:val="00593A18"/>
    <w:rsid w:val="00593C49"/>
    <w:rsid w:val="00593DBD"/>
    <w:rsid w:val="005941F7"/>
    <w:rsid w:val="0059435F"/>
    <w:rsid w:val="005945FF"/>
    <w:rsid w:val="00594887"/>
    <w:rsid w:val="005959C2"/>
    <w:rsid w:val="00595E34"/>
    <w:rsid w:val="00595F26"/>
    <w:rsid w:val="0059608E"/>
    <w:rsid w:val="005960BC"/>
    <w:rsid w:val="00596375"/>
    <w:rsid w:val="00596533"/>
    <w:rsid w:val="00596658"/>
    <w:rsid w:val="00596776"/>
    <w:rsid w:val="00596BA9"/>
    <w:rsid w:val="00596F35"/>
    <w:rsid w:val="0059765A"/>
    <w:rsid w:val="00597DC0"/>
    <w:rsid w:val="005A03EA"/>
    <w:rsid w:val="005A0815"/>
    <w:rsid w:val="005A093B"/>
    <w:rsid w:val="005A0C40"/>
    <w:rsid w:val="005A1002"/>
    <w:rsid w:val="005A1006"/>
    <w:rsid w:val="005A1544"/>
    <w:rsid w:val="005A1E28"/>
    <w:rsid w:val="005A2061"/>
    <w:rsid w:val="005A2281"/>
    <w:rsid w:val="005A24AF"/>
    <w:rsid w:val="005A2A9E"/>
    <w:rsid w:val="005A2BD6"/>
    <w:rsid w:val="005A32C3"/>
    <w:rsid w:val="005A3925"/>
    <w:rsid w:val="005A3B79"/>
    <w:rsid w:val="005A4683"/>
    <w:rsid w:val="005A47BC"/>
    <w:rsid w:val="005A48B1"/>
    <w:rsid w:val="005A4A3A"/>
    <w:rsid w:val="005A4E65"/>
    <w:rsid w:val="005A5028"/>
    <w:rsid w:val="005A5535"/>
    <w:rsid w:val="005A564A"/>
    <w:rsid w:val="005A575C"/>
    <w:rsid w:val="005A581C"/>
    <w:rsid w:val="005A5AD7"/>
    <w:rsid w:val="005A5CDF"/>
    <w:rsid w:val="005A5E23"/>
    <w:rsid w:val="005A60ED"/>
    <w:rsid w:val="005A6177"/>
    <w:rsid w:val="005A67E7"/>
    <w:rsid w:val="005A68C7"/>
    <w:rsid w:val="005A6A55"/>
    <w:rsid w:val="005A6C9F"/>
    <w:rsid w:val="005A7207"/>
    <w:rsid w:val="005A738C"/>
    <w:rsid w:val="005A76DC"/>
    <w:rsid w:val="005B05A1"/>
    <w:rsid w:val="005B065F"/>
    <w:rsid w:val="005B0DBC"/>
    <w:rsid w:val="005B1BF2"/>
    <w:rsid w:val="005B1BF9"/>
    <w:rsid w:val="005B1CBD"/>
    <w:rsid w:val="005B1E68"/>
    <w:rsid w:val="005B1F28"/>
    <w:rsid w:val="005B1F80"/>
    <w:rsid w:val="005B1FCD"/>
    <w:rsid w:val="005B2452"/>
    <w:rsid w:val="005B2F6C"/>
    <w:rsid w:val="005B3C94"/>
    <w:rsid w:val="005B3FF9"/>
    <w:rsid w:val="005B4002"/>
    <w:rsid w:val="005B4306"/>
    <w:rsid w:val="005B4E10"/>
    <w:rsid w:val="005B4F0C"/>
    <w:rsid w:val="005B590A"/>
    <w:rsid w:val="005B5DF0"/>
    <w:rsid w:val="005B61B2"/>
    <w:rsid w:val="005B657C"/>
    <w:rsid w:val="005B65D4"/>
    <w:rsid w:val="005B66E0"/>
    <w:rsid w:val="005B6BD2"/>
    <w:rsid w:val="005B7030"/>
    <w:rsid w:val="005B7444"/>
    <w:rsid w:val="005B762D"/>
    <w:rsid w:val="005B79D8"/>
    <w:rsid w:val="005B7E88"/>
    <w:rsid w:val="005B7F94"/>
    <w:rsid w:val="005C0452"/>
    <w:rsid w:val="005C14A2"/>
    <w:rsid w:val="005C1615"/>
    <w:rsid w:val="005C1632"/>
    <w:rsid w:val="005C1A40"/>
    <w:rsid w:val="005C1BF6"/>
    <w:rsid w:val="005C1CE1"/>
    <w:rsid w:val="005C1D74"/>
    <w:rsid w:val="005C1DAA"/>
    <w:rsid w:val="005C1E1F"/>
    <w:rsid w:val="005C1E6C"/>
    <w:rsid w:val="005C2222"/>
    <w:rsid w:val="005C2560"/>
    <w:rsid w:val="005C2D24"/>
    <w:rsid w:val="005C2E5D"/>
    <w:rsid w:val="005C2F45"/>
    <w:rsid w:val="005C325B"/>
    <w:rsid w:val="005C328E"/>
    <w:rsid w:val="005C33A4"/>
    <w:rsid w:val="005C35C5"/>
    <w:rsid w:val="005C37FD"/>
    <w:rsid w:val="005C386A"/>
    <w:rsid w:val="005C3C54"/>
    <w:rsid w:val="005C48CF"/>
    <w:rsid w:val="005C4C78"/>
    <w:rsid w:val="005C4F64"/>
    <w:rsid w:val="005C50CC"/>
    <w:rsid w:val="005C50E4"/>
    <w:rsid w:val="005C53BC"/>
    <w:rsid w:val="005C5513"/>
    <w:rsid w:val="005C5C7B"/>
    <w:rsid w:val="005C5E06"/>
    <w:rsid w:val="005C5FBF"/>
    <w:rsid w:val="005C623E"/>
    <w:rsid w:val="005C652B"/>
    <w:rsid w:val="005C66CB"/>
    <w:rsid w:val="005C68E2"/>
    <w:rsid w:val="005C6BA1"/>
    <w:rsid w:val="005C6FFC"/>
    <w:rsid w:val="005C7169"/>
    <w:rsid w:val="005C7D05"/>
    <w:rsid w:val="005C7D83"/>
    <w:rsid w:val="005C7FE1"/>
    <w:rsid w:val="005D0264"/>
    <w:rsid w:val="005D07CA"/>
    <w:rsid w:val="005D0AB9"/>
    <w:rsid w:val="005D0FDD"/>
    <w:rsid w:val="005D119C"/>
    <w:rsid w:val="005D1323"/>
    <w:rsid w:val="005D157E"/>
    <w:rsid w:val="005D17A2"/>
    <w:rsid w:val="005D1A57"/>
    <w:rsid w:val="005D1FCA"/>
    <w:rsid w:val="005D21EE"/>
    <w:rsid w:val="005D221F"/>
    <w:rsid w:val="005D24E1"/>
    <w:rsid w:val="005D2AE0"/>
    <w:rsid w:val="005D2C7C"/>
    <w:rsid w:val="005D31BA"/>
    <w:rsid w:val="005D358D"/>
    <w:rsid w:val="005D395F"/>
    <w:rsid w:val="005D3E52"/>
    <w:rsid w:val="005D42B9"/>
    <w:rsid w:val="005D43FD"/>
    <w:rsid w:val="005D44A7"/>
    <w:rsid w:val="005D4683"/>
    <w:rsid w:val="005D4DAF"/>
    <w:rsid w:val="005D4E86"/>
    <w:rsid w:val="005D4FC6"/>
    <w:rsid w:val="005D5516"/>
    <w:rsid w:val="005D5842"/>
    <w:rsid w:val="005D5AD0"/>
    <w:rsid w:val="005D5CC5"/>
    <w:rsid w:val="005D602A"/>
    <w:rsid w:val="005D613B"/>
    <w:rsid w:val="005D6160"/>
    <w:rsid w:val="005D61C3"/>
    <w:rsid w:val="005D6241"/>
    <w:rsid w:val="005D633D"/>
    <w:rsid w:val="005D652C"/>
    <w:rsid w:val="005D656C"/>
    <w:rsid w:val="005D69AA"/>
    <w:rsid w:val="005D6EA3"/>
    <w:rsid w:val="005D71AB"/>
    <w:rsid w:val="005D728A"/>
    <w:rsid w:val="005D73EE"/>
    <w:rsid w:val="005D75B9"/>
    <w:rsid w:val="005D7BB0"/>
    <w:rsid w:val="005D7F88"/>
    <w:rsid w:val="005D7FB4"/>
    <w:rsid w:val="005E0167"/>
    <w:rsid w:val="005E04B7"/>
    <w:rsid w:val="005E0896"/>
    <w:rsid w:val="005E0AE1"/>
    <w:rsid w:val="005E0C0E"/>
    <w:rsid w:val="005E0C4A"/>
    <w:rsid w:val="005E0DA7"/>
    <w:rsid w:val="005E11DE"/>
    <w:rsid w:val="005E140D"/>
    <w:rsid w:val="005E1415"/>
    <w:rsid w:val="005E14BE"/>
    <w:rsid w:val="005E153E"/>
    <w:rsid w:val="005E15F8"/>
    <w:rsid w:val="005E1901"/>
    <w:rsid w:val="005E1AC4"/>
    <w:rsid w:val="005E1B05"/>
    <w:rsid w:val="005E1BE9"/>
    <w:rsid w:val="005E1FB0"/>
    <w:rsid w:val="005E1FD5"/>
    <w:rsid w:val="005E2482"/>
    <w:rsid w:val="005E2841"/>
    <w:rsid w:val="005E2D5F"/>
    <w:rsid w:val="005E2F30"/>
    <w:rsid w:val="005E35B6"/>
    <w:rsid w:val="005E391A"/>
    <w:rsid w:val="005E3ACA"/>
    <w:rsid w:val="005E43D4"/>
    <w:rsid w:val="005E46FB"/>
    <w:rsid w:val="005E485B"/>
    <w:rsid w:val="005E4F5C"/>
    <w:rsid w:val="005E5221"/>
    <w:rsid w:val="005E5490"/>
    <w:rsid w:val="005E5604"/>
    <w:rsid w:val="005E5773"/>
    <w:rsid w:val="005E59F2"/>
    <w:rsid w:val="005E5F67"/>
    <w:rsid w:val="005E6151"/>
    <w:rsid w:val="005E63E5"/>
    <w:rsid w:val="005E6510"/>
    <w:rsid w:val="005E6616"/>
    <w:rsid w:val="005E6795"/>
    <w:rsid w:val="005E69B9"/>
    <w:rsid w:val="005E6B1E"/>
    <w:rsid w:val="005E77BB"/>
    <w:rsid w:val="005E78BA"/>
    <w:rsid w:val="005E7BEE"/>
    <w:rsid w:val="005E7E84"/>
    <w:rsid w:val="005F0550"/>
    <w:rsid w:val="005F05EA"/>
    <w:rsid w:val="005F06D2"/>
    <w:rsid w:val="005F074A"/>
    <w:rsid w:val="005F0BB4"/>
    <w:rsid w:val="005F1136"/>
    <w:rsid w:val="005F154B"/>
    <w:rsid w:val="005F20AF"/>
    <w:rsid w:val="005F21A0"/>
    <w:rsid w:val="005F29D8"/>
    <w:rsid w:val="005F2B31"/>
    <w:rsid w:val="005F328D"/>
    <w:rsid w:val="005F3291"/>
    <w:rsid w:val="005F375E"/>
    <w:rsid w:val="005F398F"/>
    <w:rsid w:val="005F3ACB"/>
    <w:rsid w:val="005F3FCD"/>
    <w:rsid w:val="005F4238"/>
    <w:rsid w:val="005F4277"/>
    <w:rsid w:val="005F4775"/>
    <w:rsid w:val="005F50C5"/>
    <w:rsid w:val="005F5121"/>
    <w:rsid w:val="005F51B4"/>
    <w:rsid w:val="005F56C7"/>
    <w:rsid w:val="005F5B1E"/>
    <w:rsid w:val="005F5D71"/>
    <w:rsid w:val="005F5F5F"/>
    <w:rsid w:val="005F6248"/>
    <w:rsid w:val="005F65EB"/>
    <w:rsid w:val="005F6C2E"/>
    <w:rsid w:val="005F6D90"/>
    <w:rsid w:val="005F70C1"/>
    <w:rsid w:val="005F7402"/>
    <w:rsid w:val="005F7EE3"/>
    <w:rsid w:val="006001F7"/>
    <w:rsid w:val="00600214"/>
    <w:rsid w:val="006004BA"/>
    <w:rsid w:val="00600FA1"/>
    <w:rsid w:val="0060164B"/>
    <w:rsid w:val="00601709"/>
    <w:rsid w:val="006018B0"/>
    <w:rsid w:val="006019EE"/>
    <w:rsid w:val="00602BC3"/>
    <w:rsid w:val="00602DEA"/>
    <w:rsid w:val="006033FC"/>
    <w:rsid w:val="00603428"/>
    <w:rsid w:val="00603B1F"/>
    <w:rsid w:val="00603B95"/>
    <w:rsid w:val="00603F9A"/>
    <w:rsid w:val="006040EA"/>
    <w:rsid w:val="00604590"/>
    <w:rsid w:val="00604593"/>
    <w:rsid w:val="0060463C"/>
    <w:rsid w:val="00604670"/>
    <w:rsid w:val="006046B3"/>
    <w:rsid w:val="00604927"/>
    <w:rsid w:val="00604C0A"/>
    <w:rsid w:val="00604C99"/>
    <w:rsid w:val="00604EBA"/>
    <w:rsid w:val="0060511F"/>
    <w:rsid w:val="00606192"/>
    <w:rsid w:val="006065ED"/>
    <w:rsid w:val="00606720"/>
    <w:rsid w:val="00606E8A"/>
    <w:rsid w:val="00606F28"/>
    <w:rsid w:val="00606FCC"/>
    <w:rsid w:val="0060710E"/>
    <w:rsid w:val="0060717D"/>
    <w:rsid w:val="00607644"/>
    <w:rsid w:val="0060769F"/>
    <w:rsid w:val="00607766"/>
    <w:rsid w:val="00607EE0"/>
    <w:rsid w:val="0061045B"/>
    <w:rsid w:val="0061073E"/>
    <w:rsid w:val="006107C3"/>
    <w:rsid w:val="00610B72"/>
    <w:rsid w:val="0061116A"/>
    <w:rsid w:val="00611311"/>
    <w:rsid w:val="00611938"/>
    <w:rsid w:val="00611A16"/>
    <w:rsid w:val="00611A31"/>
    <w:rsid w:val="00611D1F"/>
    <w:rsid w:val="00611E5A"/>
    <w:rsid w:val="00611FA3"/>
    <w:rsid w:val="0061246C"/>
    <w:rsid w:val="00612971"/>
    <w:rsid w:val="00612FA2"/>
    <w:rsid w:val="006132E0"/>
    <w:rsid w:val="0061332B"/>
    <w:rsid w:val="006135CB"/>
    <w:rsid w:val="0061372E"/>
    <w:rsid w:val="0061437F"/>
    <w:rsid w:val="00614771"/>
    <w:rsid w:val="00614AD0"/>
    <w:rsid w:val="00614B3A"/>
    <w:rsid w:val="00614C36"/>
    <w:rsid w:val="00614EB8"/>
    <w:rsid w:val="006150A4"/>
    <w:rsid w:val="006150F4"/>
    <w:rsid w:val="0061514B"/>
    <w:rsid w:val="00615196"/>
    <w:rsid w:val="00615278"/>
    <w:rsid w:val="00615327"/>
    <w:rsid w:val="00615769"/>
    <w:rsid w:val="00615845"/>
    <w:rsid w:val="00615A99"/>
    <w:rsid w:val="00615B5C"/>
    <w:rsid w:val="00616009"/>
    <w:rsid w:val="00616586"/>
    <w:rsid w:val="00616699"/>
    <w:rsid w:val="00616A42"/>
    <w:rsid w:val="00616C11"/>
    <w:rsid w:val="00616E4C"/>
    <w:rsid w:val="006171E0"/>
    <w:rsid w:val="0061770F"/>
    <w:rsid w:val="00617795"/>
    <w:rsid w:val="00617F57"/>
    <w:rsid w:val="00620D9E"/>
    <w:rsid w:val="00621632"/>
    <w:rsid w:val="0062180A"/>
    <w:rsid w:val="00621ABE"/>
    <w:rsid w:val="00621B4F"/>
    <w:rsid w:val="00621C85"/>
    <w:rsid w:val="00621DA8"/>
    <w:rsid w:val="00621EB4"/>
    <w:rsid w:val="00622428"/>
    <w:rsid w:val="006228BD"/>
    <w:rsid w:val="006229BD"/>
    <w:rsid w:val="00622ABA"/>
    <w:rsid w:val="00622FD1"/>
    <w:rsid w:val="0062320D"/>
    <w:rsid w:val="0062354A"/>
    <w:rsid w:val="00623869"/>
    <w:rsid w:val="00623A41"/>
    <w:rsid w:val="00623C52"/>
    <w:rsid w:val="006244E3"/>
    <w:rsid w:val="00624724"/>
    <w:rsid w:val="00624894"/>
    <w:rsid w:val="0062498C"/>
    <w:rsid w:val="006249C7"/>
    <w:rsid w:val="00624A35"/>
    <w:rsid w:val="006250F8"/>
    <w:rsid w:val="006253C2"/>
    <w:rsid w:val="00625443"/>
    <w:rsid w:val="00625B1F"/>
    <w:rsid w:val="00625CA9"/>
    <w:rsid w:val="00625E7D"/>
    <w:rsid w:val="006265C2"/>
    <w:rsid w:val="00626893"/>
    <w:rsid w:val="006269F9"/>
    <w:rsid w:val="00626E45"/>
    <w:rsid w:val="00627250"/>
    <w:rsid w:val="006275DF"/>
    <w:rsid w:val="00627D6F"/>
    <w:rsid w:val="00627F38"/>
    <w:rsid w:val="00630103"/>
    <w:rsid w:val="0063070D"/>
    <w:rsid w:val="0063086A"/>
    <w:rsid w:val="00630A5D"/>
    <w:rsid w:val="00630D5E"/>
    <w:rsid w:val="0063132B"/>
    <w:rsid w:val="00631578"/>
    <w:rsid w:val="006315DB"/>
    <w:rsid w:val="006316B1"/>
    <w:rsid w:val="006317A0"/>
    <w:rsid w:val="00631A4C"/>
    <w:rsid w:val="00631A93"/>
    <w:rsid w:val="006325E6"/>
    <w:rsid w:val="0063270D"/>
    <w:rsid w:val="00632B45"/>
    <w:rsid w:val="00632F97"/>
    <w:rsid w:val="006333C0"/>
    <w:rsid w:val="00634033"/>
    <w:rsid w:val="00634141"/>
    <w:rsid w:val="00634508"/>
    <w:rsid w:val="00634BA1"/>
    <w:rsid w:val="00634FC0"/>
    <w:rsid w:val="0063578E"/>
    <w:rsid w:val="00635803"/>
    <w:rsid w:val="00635866"/>
    <w:rsid w:val="00635B2D"/>
    <w:rsid w:val="00635CB8"/>
    <w:rsid w:val="00635CCA"/>
    <w:rsid w:val="00635E22"/>
    <w:rsid w:val="0063601B"/>
    <w:rsid w:val="00636BD8"/>
    <w:rsid w:val="00636C11"/>
    <w:rsid w:val="00637499"/>
    <w:rsid w:val="00637886"/>
    <w:rsid w:val="006378FD"/>
    <w:rsid w:val="0063790E"/>
    <w:rsid w:val="0063792C"/>
    <w:rsid w:val="00637B4E"/>
    <w:rsid w:val="00637F8D"/>
    <w:rsid w:val="006401EC"/>
    <w:rsid w:val="00640209"/>
    <w:rsid w:val="006407C4"/>
    <w:rsid w:val="006408DF"/>
    <w:rsid w:val="00640909"/>
    <w:rsid w:val="00640B30"/>
    <w:rsid w:val="00641393"/>
    <w:rsid w:val="006413D7"/>
    <w:rsid w:val="0064191D"/>
    <w:rsid w:val="00641A4F"/>
    <w:rsid w:val="00642140"/>
    <w:rsid w:val="00642350"/>
    <w:rsid w:val="00642654"/>
    <w:rsid w:val="006428B8"/>
    <w:rsid w:val="00642959"/>
    <w:rsid w:val="00642A57"/>
    <w:rsid w:val="00642D1F"/>
    <w:rsid w:val="00643174"/>
    <w:rsid w:val="006432FD"/>
    <w:rsid w:val="00643883"/>
    <w:rsid w:val="00643906"/>
    <w:rsid w:val="00644054"/>
    <w:rsid w:val="006440B4"/>
    <w:rsid w:val="00644135"/>
    <w:rsid w:val="00644295"/>
    <w:rsid w:val="00644473"/>
    <w:rsid w:val="006445C7"/>
    <w:rsid w:val="00644A3E"/>
    <w:rsid w:val="006454D6"/>
    <w:rsid w:val="006458D3"/>
    <w:rsid w:val="00645C67"/>
    <w:rsid w:val="00645EA5"/>
    <w:rsid w:val="006461E0"/>
    <w:rsid w:val="00646588"/>
    <w:rsid w:val="006469C7"/>
    <w:rsid w:val="00646C1E"/>
    <w:rsid w:val="00646DF0"/>
    <w:rsid w:val="00647235"/>
    <w:rsid w:val="006473D1"/>
    <w:rsid w:val="00647455"/>
    <w:rsid w:val="006478E7"/>
    <w:rsid w:val="00647998"/>
    <w:rsid w:val="006479D0"/>
    <w:rsid w:val="00647C38"/>
    <w:rsid w:val="00647DC2"/>
    <w:rsid w:val="006501AD"/>
    <w:rsid w:val="006504FE"/>
    <w:rsid w:val="00650615"/>
    <w:rsid w:val="0065083E"/>
    <w:rsid w:val="006509F0"/>
    <w:rsid w:val="00650DAC"/>
    <w:rsid w:val="00650E50"/>
    <w:rsid w:val="00650EA9"/>
    <w:rsid w:val="00651859"/>
    <w:rsid w:val="00651D1D"/>
    <w:rsid w:val="00651E28"/>
    <w:rsid w:val="0065205D"/>
    <w:rsid w:val="0065242F"/>
    <w:rsid w:val="00652BBC"/>
    <w:rsid w:val="00652D57"/>
    <w:rsid w:val="00652DC8"/>
    <w:rsid w:val="00653269"/>
    <w:rsid w:val="00653D13"/>
    <w:rsid w:val="00653EF0"/>
    <w:rsid w:val="00654E20"/>
    <w:rsid w:val="00654EE0"/>
    <w:rsid w:val="006550F0"/>
    <w:rsid w:val="0065541B"/>
    <w:rsid w:val="006556B2"/>
    <w:rsid w:val="00655BCA"/>
    <w:rsid w:val="00655F3C"/>
    <w:rsid w:val="006560C7"/>
    <w:rsid w:val="00656442"/>
    <w:rsid w:val="006564D2"/>
    <w:rsid w:val="00656DCC"/>
    <w:rsid w:val="00656DCF"/>
    <w:rsid w:val="00657075"/>
    <w:rsid w:val="006570C9"/>
    <w:rsid w:val="00657A6F"/>
    <w:rsid w:val="00660D5A"/>
    <w:rsid w:val="00660E22"/>
    <w:rsid w:val="00660EBB"/>
    <w:rsid w:val="006611D6"/>
    <w:rsid w:val="006614C1"/>
    <w:rsid w:val="00661527"/>
    <w:rsid w:val="00661556"/>
    <w:rsid w:val="00661C24"/>
    <w:rsid w:val="00661D73"/>
    <w:rsid w:val="00661E0A"/>
    <w:rsid w:val="00662228"/>
    <w:rsid w:val="00662520"/>
    <w:rsid w:val="0066258C"/>
    <w:rsid w:val="00662862"/>
    <w:rsid w:val="006628EF"/>
    <w:rsid w:val="00662A3A"/>
    <w:rsid w:val="00662B3B"/>
    <w:rsid w:val="00662D1B"/>
    <w:rsid w:val="00662EB7"/>
    <w:rsid w:val="006632A1"/>
    <w:rsid w:val="00663D2E"/>
    <w:rsid w:val="00665013"/>
    <w:rsid w:val="00665C6C"/>
    <w:rsid w:val="00666FD8"/>
    <w:rsid w:val="0066762A"/>
    <w:rsid w:val="0066789F"/>
    <w:rsid w:val="00667ED5"/>
    <w:rsid w:val="00670014"/>
    <w:rsid w:val="0067057B"/>
    <w:rsid w:val="006705D4"/>
    <w:rsid w:val="006710DB"/>
    <w:rsid w:val="0067115B"/>
    <w:rsid w:val="0067157A"/>
    <w:rsid w:val="00671B2D"/>
    <w:rsid w:val="00671BDC"/>
    <w:rsid w:val="00671D7E"/>
    <w:rsid w:val="00671E7F"/>
    <w:rsid w:val="0067247B"/>
    <w:rsid w:val="006729C2"/>
    <w:rsid w:val="00672E1E"/>
    <w:rsid w:val="00672F22"/>
    <w:rsid w:val="00673237"/>
    <w:rsid w:val="00673503"/>
    <w:rsid w:val="00673593"/>
    <w:rsid w:val="00673655"/>
    <w:rsid w:val="00673696"/>
    <w:rsid w:val="00673783"/>
    <w:rsid w:val="00673D6D"/>
    <w:rsid w:val="00674325"/>
    <w:rsid w:val="00674620"/>
    <w:rsid w:val="006748A6"/>
    <w:rsid w:val="006749C4"/>
    <w:rsid w:val="00674AB6"/>
    <w:rsid w:val="006753DF"/>
    <w:rsid w:val="00675D76"/>
    <w:rsid w:val="00676084"/>
    <w:rsid w:val="006762DA"/>
    <w:rsid w:val="00676A79"/>
    <w:rsid w:val="00676D12"/>
    <w:rsid w:val="00676E4D"/>
    <w:rsid w:val="006774D7"/>
    <w:rsid w:val="006777FF"/>
    <w:rsid w:val="00677AE3"/>
    <w:rsid w:val="00677B94"/>
    <w:rsid w:val="00677C1E"/>
    <w:rsid w:val="00680054"/>
    <w:rsid w:val="006802D1"/>
    <w:rsid w:val="00680505"/>
    <w:rsid w:val="00680669"/>
    <w:rsid w:val="00680906"/>
    <w:rsid w:val="00681177"/>
    <w:rsid w:val="00681711"/>
    <w:rsid w:val="0068185D"/>
    <w:rsid w:val="00681F97"/>
    <w:rsid w:val="0068245E"/>
    <w:rsid w:val="00682B77"/>
    <w:rsid w:val="00682F26"/>
    <w:rsid w:val="0068393C"/>
    <w:rsid w:val="0068420F"/>
    <w:rsid w:val="006843E3"/>
    <w:rsid w:val="00684CE0"/>
    <w:rsid w:val="0068503A"/>
    <w:rsid w:val="00685355"/>
    <w:rsid w:val="006854D7"/>
    <w:rsid w:val="006854DC"/>
    <w:rsid w:val="0068621D"/>
    <w:rsid w:val="006867AA"/>
    <w:rsid w:val="006868C7"/>
    <w:rsid w:val="00686999"/>
    <w:rsid w:val="00686A88"/>
    <w:rsid w:val="00686CEA"/>
    <w:rsid w:val="00686EED"/>
    <w:rsid w:val="006873D9"/>
    <w:rsid w:val="006878F3"/>
    <w:rsid w:val="00690148"/>
    <w:rsid w:val="0069037E"/>
    <w:rsid w:val="006903F0"/>
    <w:rsid w:val="006906BA"/>
    <w:rsid w:val="00690B49"/>
    <w:rsid w:val="00690D6A"/>
    <w:rsid w:val="00690F5B"/>
    <w:rsid w:val="00691444"/>
    <w:rsid w:val="0069162D"/>
    <w:rsid w:val="006916FD"/>
    <w:rsid w:val="00691798"/>
    <w:rsid w:val="00691A78"/>
    <w:rsid w:val="00691E95"/>
    <w:rsid w:val="00691F51"/>
    <w:rsid w:val="00691FB9"/>
    <w:rsid w:val="006925DF"/>
    <w:rsid w:val="0069266D"/>
    <w:rsid w:val="0069280B"/>
    <w:rsid w:val="00692C3C"/>
    <w:rsid w:val="00692FB7"/>
    <w:rsid w:val="006934D1"/>
    <w:rsid w:val="006935EB"/>
    <w:rsid w:val="0069369E"/>
    <w:rsid w:val="00693D5E"/>
    <w:rsid w:val="00693D96"/>
    <w:rsid w:val="006940B9"/>
    <w:rsid w:val="00694643"/>
    <w:rsid w:val="006946CE"/>
    <w:rsid w:val="00694853"/>
    <w:rsid w:val="00694C6C"/>
    <w:rsid w:val="00694CB3"/>
    <w:rsid w:val="0069555D"/>
    <w:rsid w:val="00695722"/>
    <w:rsid w:val="00695755"/>
    <w:rsid w:val="00695983"/>
    <w:rsid w:val="00696154"/>
    <w:rsid w:val="006966EE"/>
    <w:rsid w:val="00696928"/>
    <w:rsid w:val="006972E6"/>
    <w:rsid w:val="006974FE"/>
    <w:rsid w:val="006974FF"/>
    <w:rsid w:val="00697A95"/>
    <w:rsid w:val="00697CB0"/>
    <w:rsid w:val="00697D95"/>
    <w:rsid w:val="006A01C3"/>
    <w:rsid w:val="006A02D7"/>
    <w:rsid w:val="006A0D71"/>
    <w:rsid w:val="006A0F7D"/>
    <w:rsid w:val="006A0F7F"/>
    <w:rsid w:val="006A0FC6"/>
    <w:rsid w:val="006A11A7"/>
    <w:rsid w:val="006A14C1"/>
    <w:rsid w:val="006A17B7"/>
    <w:rsid w:val="006A18A9"/>
    <w:rsid w:val="006A196A"/>
    <w:rsid w:val="006A1BFD"/>
    <w:rsid w:val="006A20A2"/>
    <w:rsid w:val="006A23AA"/>
    <w:rsid w:val="006A36B2"/>
    <w:rsid w:val="006A38B3"/>
    <w:rsid w:val="006A412A"/>
    <w:rsid w:val="006A4415"/>
    <w:rsid w:val="006A467F"/>
    <w:rsid w:val="006A4833"/>
    <w:rsid w:val="006A4954"/>
    <w:rsid w:val="006A4A32"/>
    <w:rsid w:val="006A4CA7"/>
    <w:rsid w:val="006A50FA"/>
    <w:rsid w:val="006A518C"/>
    <w:rsid w:val="006A5905"/>
    <w:rsid w:val="006A5F31"/>
    <w:rsid w:val="006A64B0"/>
    <w:rsid w:val="006A65DA"/>
    <w:rsid w:val="006A6AD5"/>
    <w:rsid w:val="006A6D1F"/>
    <w:rsid w:val="006A6FF2"/>
    <w:rsid w:val="006A71CC"/>
    <w:rsid w:val="006A723A"/>
    <w:rsid w:val="006A74AD"/>
    <w:rsid w:val="006A7759"/>
    <w:rsid w:val="006A78BA"/>
    <w:rsid w:val="006A7AE2"/>
    <w:rsid w:val="006B02BB"/>
    <w:rsid w:val="006B0E64"/>
    <w:rsid w:val="006B1116"/>
    <w:rsid w:val="006B11E9"/>
    <w:rsid w:val="006B12E8"/>
    <w:rsid w:val="006B14AF"/>
    <w:rsid w:val="006B15EB"/>
    <w:rsid w:val="006B17B2"/>
    <w:rsid w:val="006B1819"/>
    <w:rsid w:val="006B27CC"/>
    <w:rsid w:val="006B2AC5"/>
    <w:rsid w:val="006B2ADC"/>
    <w:rsid w:val="006B2DF0"/>
    <w:rsid w:val="006B33DA"/>
    <w:rsid w:val="006B3631"/>
    <w:rsid w:val="006B36F5"/>
    <w:rsid w:val="006B3714"/>
    <w:rsid w:val="006B38E3"/>
    <w:rsid w:val="006B39C9"/>
    <w:rsid w:val="006B3A88"/>
    <w:rsid w:val="006B3C27"/>
    <w:rsid w:val="006B4B64"/>
    <w:rsid w:val="006B4B8E"/>
    <w:rsid w:val="006B5436"/>
    <w:rsid w:val="006B54DC"/>
    <w:rsid w:val="006B55D2"/>
    <w:rsid w:val="006B59B9"/>
    <w:rsid w:val="006B5D0F"/>
    <w:rsid w:val="006B694D"/>
    <w:rsid w:val="006B717A"/>
    <w:rsid w:val="006B7254"/>
    <w:rsid w:val="006B73DC"/>
    <w:rsid w:val="006B7433"/>
    <w:rsid w:val="006B767E"/>
    <w:rsid w:val="006B78C1"/>
    <w:rsid w:val="006B7D6C"/>
    <w:rsid w:val="006C0181"/>
    <w:rsid w:val="006C0244"/>
    <w:rsid w:val="006C05F6"/>
    <w:rsid w:val="006C0878"/>
    <w:rsid w:val="006C0A37"/>
    <w:rsid w:val="006C0E83"/>
    <w:rsid w:val="006C0EB8"/>
    <w:rsid w:val="006C110A"/>
    <w:rsid w:val="006C1DB8"/>
    <w:rsid w:val="006C1FA3"/>
    <w:rsid w:val="006C1FD5"/>
    <w:rsid w:val="006C2699"/>
    <w:rsid w:val="006C275A"/>
    <w:rsid w:val="006C2D06"/>
    <w:rsid w:val="006C3311"/>
    <w:rsid w:val="006C33FD"/>
    <w:rsid w:val="006C3707"/>
    <w:rsid w:val="006C38FF"/>
    <w:rsid w:val="006C41B7"/>
    <w:rsid w:val="006C446C"/>
    <w:rsid w:val="006C465F"/>
    <w:rsid w:val="006C46D1"/>
    <w:rsid w:val="006C6114"/>
    <w:rsid w:val="006C6C66"/>
    <w:rsid w:val="006C6E9C"/>
    <w:rsid w:val="006C6FC3"/>
    <w:rsid w:val="006C76CD"/>
    <w:rsid w:val="006C7B71"/>
    <w:rsid w:val="006C7BA2"/>
    <w:rsid w:val="006C7EEB"/>
    <w:rsid w:val="006D0272"/>
    <w:rsid w:val="006D059F"/>
    <w:rsid w:val="006D0A78"/>
    <w:rsid w:val="006D0B23"/>
    <w:rsid w:val="006D1FF6"/>
    <w:rsid w:val="006D2346"/>
    <w:rsid w:val="006D25A3"/>
    <w:rsid w:val="006D2703"/>
    <w:rsid w:val="006D2714"/>
    <w:rsid w:val="006D2C0C"/>
    <w:rsid w:val="006D2DE9"/>
    <w:rsid w:val="006D35B7"/>
    <w:rsid w:val="006D3614"/>
    <w:rsid w:val="006D3B5C"/>
    <w:rsid w:val="006D3B7D"/>
    <w:rsid w:val="006D3E40"/>
    <w:rsid w:val="006D4033"/>
    <w:rsid w:val="006D45A0"/>
    <w:rsid w:val="006D47BC"/>
    <w:rsid w:val="006D4850"/>
    <w:rsid w:val="006D4B93"/>
    <w:rsid w:val="006D4D1A"/>
    <w:rsid w:val="006D4F55"/>
    <w:rsid w:val="006D5178"/>
    <w:rsid w:val="006D5CE9"/>
    <w:rsid w:val="006D5DF3"/>
    <w:rsid w:val="006D6276"/>
    <w:rsid w:val="006D6813"/>
    <w:rsid w:val="006D6B46"/>
    <w:rsid w:val="006D6D83"/>
    <w:rsid w:val="006D6EB5"/>
    <w:rsid w:val="006D7257"/>
    <w:rsid w:val="006D7C7D"/>
    <w:rsid w:val="006D7F6B"/>
    <w:rsid w:val="006E001C"/>
    <w:rsid w:val="006E0964"/>
    <w:rsid w:val="006E099E"/>
    <w:rsid w:val="006E0AB9"/>
    <w:rsid w:val="006E0E30"/>
    <w:rsid w:val="006E0FC3"/>
    <w:rsid w:val="006E134A"/>
    <w:rsid w:val="006E14AA"/>
    <w:rsid w:val="006E15C6"/>
    <w:rsid w:val="006E1E80"/>
    <w:rsid w:val="006E21C3"/>
    <w:rsid w:val="006E25E5"/>
    <w:rsid w:val="006E2859"/>
    <w:rsid w:val="006E28BA"/>
    <w:rsid w:val="006E2C1A"/>
    <w:rsid w:val="006E3503"/>
    <w:rsid w:val="006E39B3"/>
    <w:rsid w:val="006E43BB"/>
    <w:rsid w:val="006E4B1D"/>
    <w:rsid w:val="006E4B6C"/>
    <w:rsid w:val="006E4D17"/>
    <w:rsid w:val="006E4F3D"/>
    <w:rsid w:val="006E5486"/>
    <w:rsid w:val="006E5E25"/>
    <w:rsid w:val="006E6DE4"/>
    <w:rsid w:val="006E70D6"/>
    <w:rsid w:val="006E739C"/>
    <w:rsid w:val="006E75D1"/>
    <w:rsid w:val="006E76FB"/>
    <w:rsid w:val="006E783E"/>
    <w:rsid w:val="006E7CD1"/>
    <w:rsid w:val="006F00AE"/>
    <w:rsid w:val="006F01C4"/>
    <w:rsid w:val="006F064B"/>
    <w:rsid w:val="006F0B27"/>
    <w:rsid w:val="006F0F56"/>
    <w:rsid w:val="006F0F7E"/>
    <w:rsid w:val="006F13B5"/>
    <w:rsid w:val="006F17CF"/>
    <w:rsid w:val="006F1A30"/>
    <w:rsid w:val="006F1F67"/>
    <w:rsid w:val="006F264F"/>
    <w:rsid w:val="006F2C8E"/>
    <w:rsid w:val="006F31DE"/>
    <w:rsid w:val="006F35B0"/>
    <w:rsid w:val="006F3645"/>
    <w:rsid w:val="006F3EA0"/>
    <w:rsid w:val="006F44F7"/>
    <w:rsid w:val="006F4805"/>
    <w:rsid w:val="006F4BEE"/>
    <w:rsid w:val="006F4EE4"/>
    <w:rsid w:val="006F5300"/>
    <w:rsid w:val="006F53DA"/>
    <w:rsid w:val="006F540C"/>
    <w:rsid w:val="006F5505"/>
    <w:rsid w:val="006F56A3"/>
    <w:rsid w:val="006F5B5E"/>
    <w:rsid w:val="006F5C95"/>
    <w:rsid w:val="006F5D16"/>
    <w:rsid w:val="006F5D3B"/>
    <w:rsid w:val="006F5F42"/>
    <w:rsid w:val="006F649E"/>
    <w:rsid w:val="006F64D8"/>
    <w:rsid w:val="006F66EB"/>
    <w:rsid w:val="006F6923"/>
    <w:rsid w:val="006F6B84"/>
    <w:rsid w:val="006F7A80"/>
    <w:rsid w:val="006F7C25"/>
    <w:rsid w:val="006F7CC2"/>
    <w:rsid w:val="0070031C"/>
    <w:rsid w:val="007005EC"/>
    <w:rsid w:val="00700AB6"/>
    <w:rsid w:val="007014E9"/>
    <w:rsid w:val="00701611"/>
    <w:rsid w:val="0070170C"/>
    <w:rsid w:val="00701905"/>
    <w:rsid w:val="00702727"/>
    <w:rsid w:val="00702A22"/>
    <w:rsid w:val="00702C2B"/>
    <w:rsid w:val="00704005"/>
    <w:rsid w:val="007046DE"/>
    <w:rsid w:val="007048FC"/>
    <w:rsid w:val="00704A2F"/>
    <w:rsid w:val="00704E97"/>
    <w:rsid w:val="007050F8"/>
    <w:rsid w:val="007051D0"/>
    <w:rsid w:val="00705383"/>
    <w:rsid w:val="007053DF"/>
    <w:rsid w:val="0070556D"/>
    <w:rsid w:val="00705A04"/>
    <w:rsid w:val="00705B26"/>
    <w:rsid w:val="00705C42"/>
    <w:rsid w:val="00705C4D"/>
    <w:rsid w:val="00705F3B"/>
    <w:rsid w:val="0070605B"/>
    <w:rsid w:val="0070685E"/>
    <w:rsid w:val="00706872"/>
    <w:rsid w:val="007070B3"/>
    <w:rsid w:val="00707681"/>
    <w:rsid w:val="00707BA1"/>
    <w:rsid w:val="00707D20"/>
    <w:rsid w:val="00707DD0"/>
    <w:rsid w:val="00710027"/>
    <w:rsid w:val="007100D6"/>
    <w:rsid w:val="00710763"/>
    <w:rsid w:val="00710BBE"/>
    <w:rsid w:val="00710C93"/>
    <w:rsid w:val="00710F8B"/>
    <w:rsid w:val="00711226"/>
    <w:rsid w:val="0071201F"/>
    <w:rsid w:val="007123BD"/>
    <w:rsid w:val="00712459"/>
    <w:rsid w:val="007126D6"/>
    <w:rsid w:val="00712849"/>
    <w:rsid w:val="00713359"/>
    <w:rsid w:val="007134C2"/>
    <w:rsid w:val="0071350D"/>
    <w:rsid w:val="00713728"/>
    <w:rsid w:val="0071417F"/>
    <w:rsid w:val="00714369"/>
    <w:rsid w:val="00714697"/>
    <w:rsid w:val="00714CC6"/>
    <w:rsid w:val="00714F9C"/>
    <w:rsid w:val="00715227"/>
    <w:rsid w:val="00715473"/>
    <w:rsid w:val="00715910"/>
    <w:rsid w:val="007165FF"/>
    <w:rsid w:val="00716608"/>
    <w:rsid w:val="00716A45"/>
    <w:rsid w:val="00716D54"/>
    <w:rsid w:val="00716E68"/>
    <w:rsid w:val="0071702E"/>
    <w:rsid w:val="00717443"/>
    <w:rsid w:val="007176FD"/>
    <w:rsid w:val="00717732"/>
    <w:rsid w:val="00717B3D"/>
    <w:rsid w:val="00717C32"/>
    <w:rsid w:val="0072024E"/>
    <w:rsid w:val="00720FE7"/>
    <w:rsid w:val="00721B5F"/>
    <w:rsid w:val="00722D5D"/>
    <w:rsid w:val="007231D1"/>
    <w:rsid w:val="00723E16"/>
    <w:rsid w:val="00723F87"/>
    <w:rsid w:val="00723FF1"/>
    <w:rsid w:val="0072483C"/>
    <w:rsid w:val="00724C03"/>
    <w:rsid w:val="00724C20"/>
    <w:rsid w:val="00724CF6"/>
    <w:rsid w:val="00725003"/>
    <w:rsid w:val="007253E2"/>
    <w:rsid w:val="007255A6"/>
    <w:rsid w:val="00725B40"/>
    <w:rsid w:val="00725FF7"/>
    <w:rsid w:val="007263AC"/>
    <w:rsid w:val="00726418"/>
    <w:rsid w:val="00726479"/>
    <w:rsid w:val="007267AD"/>
    <w:rsid w:val="007268B3"/>
    <w:rsid w:val="00726A6F"/>
    <w:rsid w:val="00726AF9"/>
    <w:rsid w:val="00726B55"/>
    <w:rsid w:val="00726B92"/>
    <w:rsid w:val="007277BF"/>
    <w:rsid w:val="00730923"/>
    <w:rsid w:val="00730ABD"/>
    <w:rsid w:val="00730CC4"/>
    <w:rsid w:val="00731172"/>
    <w:rsid w:val="0073179E"/>
    <w:rsid w:val="00731E9B"/>
    <w:rsid w:val="007320E4"/>
    <w:rsid w:val="00732108"/>
    <w:rsid w:val="0073230B"/>
    <w:rsid w:val="00732854"/>
    <w:rsid w:val="007328E2"/>
    <w:rsid w:val="00732B57"/>
    <w:rsid w:val="00732BB4"/>
    <w:rsid w:val="00732BDB"/>
    <w:rsid w:val="00733075"/>
    <w:rsid w:val="007331B7"/>
    <w:rsid w:val="007339A2"/>
    <w:rsid w:val="007339F2"/>
    <w:rsid w:val="00733A68"/>
    <w:rsid w:val="0073406D"/>
    <w:rsid w:val="007342C2"/>
    <w:rsid w:val="00734BD7"/>
    <w:rsid w:val="00734BFE"/>
    <w:rsid w:val="00735763"/>
    <w:rsid w:val="00735A3F"/>
    <w:rsid w:val="00735A93"/>
    <w:rsid w:val="00736053"/>
    <w:rsid w:val="00736088"/>
    <w:rsid w:val="007364A3"/>
    <w:rsid w:val="00736675"/>
    <w:rsid w:val="00736C3F"/>
    <w:rsid w:val="00736E98"/>
    <w:rsid w:val="00736FA3"/>
    <w:rsid w:val="0073765E"/>
    <w:rsid w:val="00737804"/>
    <w:rsid w:val="0073788B"/>
    <w:rsid w:val="007378CB"/>
    <w:rsid w:val="007379B2"/>
    <w:rsid w:val="00737E46"/>
    <w:rsid w:val="00740526"/>
    <w:rsid w:val="00740628"/>
    <w:rsid w:val="00740D56"/>
    <w:rsid w:val="00740F4C"/>
    <w:rsid w:val="00740FA7"/>
    <w:rsid w:val="00741048"/>
    <w:rsid w:val="007413B8"/>
    <w:rsid w:val="00741CFD"/>
    <w:rsid w:val="00741D98"/>
    <w:rsid w:val="00742657"/>
    <w:rsid w:val="00742D9B"/>
    <w:rsid w:val="00743078"/>
    <w:rsid w:val="00743487"/>
    <w:rsid w:val="00743795"/>
    <w:rsid w:val="00743C45"/>
    <w:rsid w:val="00743F19"/>
    <w:rsid w:val="00744144"/>
    <w:rsid w:val="00744319"/>
    <w:rsid w:val="007446AD"/>
    <w:rsid w:val="00744C3D"/>
    <w:rsid w:val="00745345"/>
    <w:rsid w:val="00745469"/>
    <w:rsid w:val="00745996"/>
    <w:rsid w:val="007459F7"/>
    <w:rsid w:val="00745EB7"/>
    <w:rsid w:val="0074654E"/>
    <w:rsid w:val="007466DC"/>
    <w:rsid w:val="007469B4"/>
    <w:rsid w:val="007469C3"/>
    <w:rsid w:val="00746B06"/>
    <w:rsid w:val="00746CA9"/>
    <w:rsid w:val="00746E06"/>
    <w:rsid w:val="00746E37"/>
    <w:rsid w:val="00746E87"/>
    <w:rsid w:val="00747424"/>
    <w:rsid w:val="007477D6"/>
    <w:rsid w:val="00747804"/>
    <w:rsid w:val="0074799E"/>
    <w:rsid w:val="00747C33"/>
    <w:rsid w:val="00747E8A"/>
    <w:rsid w:val="00750036"/>
    <w:rsid w:val="00750168"/>
    <w:rsid w:val="00750D90"/>
    <w:rsid w:val="00750DA0"/>
    <w:rsid w:val="0075146C"/>
    <w:rsid w:val="00751836"/>
    <w:rsid w:val="00751E04"/>
    <w:rsid w:val="00751F45"/>
    <w:rsid w:val="00751FFA"/>
    <w:rsid w:val="00752515"/>
    <w:rsid w:val="007525F1"/>
    <w:rsid w:val="00752789"/>
    <w:rsid w:val="00752D0B"/>
    <w:rsid w:val="00752DF7"/>
    <w:rsid w:val="00752EAD"/>
    <w:rsid w:val="00752F16"/>
    <w:rsid w:val="00752FF3"/>
    <w:rsid w:val="007534F7"/>
    <w:rsid w:val="007535D9"/>
    <w:rsid w:val="00753736"/>
    <w:rsid w:val="007537CA"/>
    <w:rsid w:val="00753AA1"/>
    <w:rsid w:val="00753DCB"/>
    <w:rsid w:val="00753F0E"/>
    <w:rsid w:val="007540C1"/>
    <w:rsid w:val="00754547"/>
    <w:rsid w:val="00754723"/>
    <w:rsid w:val="007548AF"/>
    <w:rsid w:val="00754B90"/>
    <w:rsid w:val="0075515D"/>
    <w:rsid w:val="007556F7"/>
    <w:rsid w:val="00755D0B"/>
    <w:rsid w:val="007564F0"/>
    <w:rsid w:val="0075700D"/>
    <w:rsid w:val="0075744C"/>
    <w:rsid w:val="007578ED"/>
    <w:rsid w:val="007601FD"/>
    <w:rsid w:val="00760996"/>
    <w:rsid w:val="007611F4"/>
    <w:rsid w:val="00761757"/>
    <w:rsid w:val="00761C38"/>
    <w:rsid w:val="00761C77"/>
    <w:rsid w:val="00761E74"/>
    <w:rsid w:val="00761F36"/>
    <w:rsid w:val="007626F9"/>
    <w:rsid w:val="007628A8"/>
    <w:rsid w:val="00762A0E"/>
    <w:rsid w:val="00762DDE"/>
    <w:rsid w:val="00763BC1"/>
    <w:rsid w:val="00763CA3"/>
    <w:rsid w:val="007647B2"/>
    <w:rsid w:val="00764C56"/>
    <w:rsid w:val="007653CA"/>
    <w:rsid w:val="00765475"/>
    <w:rsid w:val="007654D2"/>
    <w:rsid w:val="007654EE"/>
    <w:rsid w:val="00765918"/>
    <w:rsid w:val="0076599A"/>
    <w:rsid w:val="00765B1F"/>
    <w:rsid w:val="00765BC6"/>
    <w:rsid w:val="00765C04"/>
    <w:rsid w:val="00765C57"/>
    <w:rsid w:val="00766428"/>
    <w:rsid w:val="00766461"/>
    <w:rsid w:val="0076666D"/>
    <w:rsid w:val="00766876"/>
    <w:rsid w:val="00766FC9"/>
    <w:rsid w:val="00767312"/>
    <w:rsid w:val="0076740E"/>
    <w:rsid w:val="007675FF"/>
    <w:rsid w:val="0076777C"/>
    <w:rsid w:val="00767F99"/>
    <w:rsid w:val="00770983"/>
    <w:rsid w:val="00770BC6"/>
    <w:rsid w:val="00770BDD"/>
    <w:rsid w:val="00770D43"/>
    <w:rsid w:val="0077154D"/>
    <w:rsid w:val="0077180D"/>
    <w:rsid w:val="00771920"/>
    <w:rsid w:val="007719E9"/>
    <w:rsid w:val="00771D65"/>
    <w:rsid w:val="00771F5B"/>
    <w:rsid w:val="0077210A"/>
    <w:rsid w:val="0077261A"/>
    <w:rsid w:val="00772A7F"/>
    <w:rsid w:val="00773286"/>
    <w:rsid w:val="007735F9"/>
    <w:rsid w:val="0077398F"/>
    <w:rsid w:val="007739BA"/>
    <w:rsid w:val="00773B8A"/>
    <w:rsid w:val="00773BD0"/>
    <w:rsid w:val="00773C4D"/>
    <w:rsid w:val="00774B84"/>
    <w:rsid w:val="00774DA9"/>
    <w:rsid w:val="00775525"/>
    <w:rsid w:val="00775597"/>
    <w:rsid w:val="00775944"/>
    <w:rsid w:val="00775961"/>
    <w:rsid w:val="00775A5F"/>
    <w:rsid w:val="00775D90"/>
    <w:rsid w:val="0077609D"/>
    <w:rsid w:val="00776576"/>
    <w:rsid w:val="007765A0"/>
    <w:rsid w:val="007769AF"/>
    <w:rsid w:val="00776E06"/>
    <w:rsid w:val="00776E98"/>
    <w:rsid w:val="007772F6"/>
    <w:rsid w:val="0077785F"/>
    <w:rsid w:val="00780264"/>
    <w:rsid w:val="00780540"/>
    <w:rsid w:val="00780884"/>
    <w:rsid w:val="00780ACF"/>
    <w:rsid w:val="00781354"/>
    <w:rsid w:val="00781E15"/>
    <w:rsid w:val="007829A1"/>
    <w:rsid w:val="00782A19"/>
    <w:rsid w:val="00782C8C"/>
    <w:rsid w:val="00782D91"/>
    <w:rsid w:val="007830C3"/>
    <w:rsid w:val="00783133"/>
    <w:rsid w:val="007835D2"/>
    <w:rsid w:val="00783720"/>
    <w:rsid w:val="00783B67"/>
    <w:rsid w:val="00783CA4"/>
    <w:rsid w:val="00783E01"/>
    <w:rsid w:val="007848D2"/>
    <w:rsid w:val="0078496E"/>
    <w:rsid w:val="00784CDE"/>
    <w:rsid w:val="00784D92"/>
    <w:rsid w:val="007851BC"/>
    <w:rsid w:val="007852DE"/>
    <w:rsid w:val="00785613"/>
    <w:rsid w:val="00785B89"/>
    <w:rsid w:val="00785D16"/>
    <w:rsid w:val="00785D55"/>
    <w:rsid w:val="00786311"/>
    <w:rsid w:val="00786668"/>
    <w:rsid w:val="00786AB3"/>
    <w:rsid w:val="0078746D"/>
    <w:rsid w:val="00787682"/>
    <w:rsid w:val="00787B8B"/>
    <w:rsid w:val="007901DD"/>
    <w:rsid w:val="007907F5"/>
    <w:rsid w:val="00790F6D"/>
    <w:rsid w:val="007914B2"/>
    <w:rsid w:val="00791904"/>
    <w:rsid w:val="00791986"/>
    <w:rsid w:val="00791A8D"/>
    <w:rsid w:val="00791CDF"/>
    <w:rsid w:val="00791EB9"/>
    <w:rsid w:val="00791FC1"/>
    <w:rsid w:val="007921BD"/>
    <w:rsid w:val="007923DC"/>
    <w:rsid w:val="00792AFA"/>
    <w:rsid w:val="00792CDC"/>
    <w:rsid w:val="007933E5"/>
    <w:rsid w:val="0079359C"/>
    <w:rsid w:val="00793AB5"/>
    <w:rsid w:val="00793B7F"/>
    <w:rsid w:val="00793C17"/>
    <w:rsid w:val="00793D47"/>
    <w:rsid w:val="00793DB5"/>
    <w:rsid w:val="00793DD5"/>
    <w:rsid w:val="007941C4"/>
    <w:rsid w:val="007943E5"/>
    <w:rsid w:val="00794A03"/>
    <w:rsid w:val="00795373"/>
    <w:rsid w:val="00795736"/>
    <w:rsid w:val="00795D6E"/>
    <w:rsid w:val="0079634B"/>
    <w:rsid w:val="00796608"/>
    <w:rsid w:val="00796DA8"/>
    <w:rsid w:val="0079739A"/>
    <w:rsid w:val="00797511"/>
    <w:rsid w:val="00797B12"/>
    <w:rsid w:val="00797BD5"/>
    <w:rsid w:val="007A01EC"/>
    <w:rsid w:val="007A036A"/>
    <w:rsid w:val="007A05AE"/>
    <w:rsid w:val="007A07B6"/>
    <w:rsid w:val="007A0BA3"/>
    <w:rsid w:val="007A0BF7"/>
    <w:rsid w:val="007A0C73"/>
    <w:rsid w:val="007A0E0F"/>
    <w:rsid w:val="007A11EC"/>
    <w:rsid w:val="007A14D6"/>
    <w:rsid w:val="007A1577"/>
    <w:rsid w:val="007A15E5"/>
    <w:rsid w:val="007A19A3"/>
    <w:rsid w:val="007A1AF0"/>
    <w:rsid w:val="007A1AF6"/>
    <w:rsid w:val="007A1B81"/>
    <w:rsid w:val="007A1E54"/>
    <w:rsid w:val="007A1EB1"/>
    <w:rsid w:val="007A202A"/>
    <w:rsid w:val="007A2186"/>
    <w:rsid w:val="007A24AD"/>
    <w:rsid w:val="007A2E37"/>
    <w:rsid w:val="007A2F79"/>
    <w:rsid w:val="007A38D6"/>
    <w:rsid w:val="007A4010"/>
    <w:rsid w:val="007A41E9"/>
    <w:rsid w:val="007A4793"/>
    <w:rsid w:val="007A4862"/>
    <w:rsid w:val="007A4D3E"/>
    <w:rsid w:val="007A51CA"/>
    <w:rsid w:val="007A520C"/>
    <w:rsid w:val="007A5701"/>
    <w:rsid w:val="007A5866"/>
    <w:rsid w:val="007A5E4D"/>
    <w:rsid w:val="007A5E51"/>
    <w:rsid w:val="007A619A"/>
    <w:rsid w:val="007A6538"/>
    <w:rsid w:val="007A6627"/>
    <w:rsid w:val="007A66C8"/>
    <w:rsid w:val="007A68DD"/>
    <w:rsid w:val="007A6E6E"/>
    <w:rsid w:val="007A6EB7"/>
    <w:rsid w:val="007A6EFA"/>
    <w:rsid w:val="007A6FC5"/>
    <w:rsid w:val="007A7034"/>
    <w:rsid w:val="007A719D"/>
    <w:rsid w:val="007A7214"/>
    <w:rsid w:val="007A74E3"/>
    <w:rsid w:val="007A7576"/>
    <w:rsid w:val="007A7A80"/>
    <w:rsid w:val="007B0026"/>
    <w:rsid w:val="007B0060"/>
    <w:rsid w:val="007B0153"/>
    <w:rsid w:val="007B0261"/>
    <w:rsid w:val="007B04F2"/>
    <w:rsid w:val="007B071F"/>
    <w:rsid w:val="007B08D1"/>
    <w:rsid w:val="007B08D9"/>
    <w:rsid w:val="007B106E"/>
    <w:rsid w:val="007B13D6"/>
    <w:rsid w:val="007B15BA"/>
    <w:rsid w:val="007B18F9"/>
    <w:rsid w:val="007B1917"/>
    <w:rsid w:val="007B1A69"/>
    <w:rsid w:val="007B1F1D"/>
    <w:rsid w:val="007B2405"/>
    <w:rsid w:val="007B26E5"/>
    <w:rsid w:val="007B2930"/>
    <w:rsid w:val="007B2A8E"/>
    <w:rsid w:val="007B2D20"/>
    <w:rsid w:val="007B2EAB"/>
    <w:rsid w:val="007B3759"/>
    <w:rsid w:val="007B3947"/>
    <w:rsid w:val="007B39DA"/>
    <w:rsid w:val="007B4148"/>
    <w:rsid w:val="007B4660"/>
    <w:rsid w:val="007B4794"/>
    <w:rsid w:val="007B4D83"/>
    <w:rsid w:val="007B4ECB"/>
    <w:rsid w:val="007B56EE"/>
    <w:rsid w:val="007B58B1"/>
    <w:rsid w:val="007B609F"/>
    <w:rsid w:val="007B650C"/>
    <w:rsid w:val="007B6F34"/>
    <w:rsid w:val="007B7B02"/>
    <w:rsid w:val="007B7ECD"/>
    <w:rsid w:val="007B7FB3"/>
    <w:rsid w:val="007C049B"/>
    <w:rsid w:val="007C075A"/>
    <w:rsid w:val="007C0A4F"/>
    <w:rsid w:val="007C1341"/>
    <w:rsid w:val="007C1494"/>
    <w:rsid w:val="007C19A0"/>
    <w:rsid w:val="007C1F59"/>
    <w:rsid w:val="007C238F"/>
    <w:rsid w:val="007C2E30"/>
    <w:rsid w:val="007C2EBB"/>
    <w:rsid w:val="007C3147"/>
    <w:rsid w:val="007C320F"/>
    <w:rsid w:val="007C3B54"/>
    <w:rsid w:val="007C4963"/>
    <w:rsid w:val="007C4CB2"/>
    <w:rsid w:val="007C502E"/>
    <w:rsid w:val="007C51DC"/>
    <w:rsid w:val="007C549F"/>
    <w:rsid w:val="007C54B1"/>
    <w:rsid w:val="007C5602"/>
    <w:rsid w:val="007C5919"/>
    <w:rsid w:val="007C5C1A"/>
    <w:rsid w:val="007C6963"/>
    <w:rsid w:val="007C69C9"/>
    <w:rsid w:val="007C6D90"/>
    <w:rsid w:val="007C70C2"/>
    <w:rsid w:val="007C7168"/>
    <w:rsid w:val="007C7286"/>
    <w:rsid w:val="007C74BE"/>
    <w:rsid w:val="007C7609"/>
    <w:rsid w:val="007C7C00"/>
    <w:rsid w:val="007D08ED"/>
    <w:rsid w:val="007D0D53"/>
    <w:rsid w:val="007D0D99"/>
    <w:rsid w:val="007D146B"/>
    <w:rsid w:val="007D199A"/>
    <w:rsid w:val="007D1A39"/>
    <w:rsid w:val="007D1DCC"/>
    <w:rsid w:val="007D2033"/>
    <w:rsid w:val="007D2108"/>
    <w:rsid w:val="007D2749"/>
    <w:rsid w:val="007D2D79"/>
    <w:rsid w:val="007D2DF8"/>
    <w:rsid w:val="007D2F3D"/>
    <w:rsid w:val="007D2FB9"/>
    <w:rsid w:val="007D426E"/>
    <w:rsid w:val="007D43BD"/>
    <w:rsid w:val="007D4929"/>
    <w:rsid w:val="007D4963"/>
    <w:rsid w:val="007D4D44"/>
    <w:rsid w:val="007D57A0"/>
    <w:rsid w:val="007D5931"/>
    <w:rsid w:val="007D5A44"/>
    <w:rsid w:val="007D60AC"/>
    <w:rsid w:val="007D6332"/>
    <w:rsid w:val="007D666B"/>
    <w:rsid w:val="007D68C8"/>
    <w:rsid w:val="007D6B83"/>
    <w:rsid w:val="007D6C63"/>
    <w:rsid w:val="007D6F06"/>
    <w:rsid w:val="007D76E1"/>
    <w:rsid w:val="007D7AFE"/>
    <w:rsid w:val="007D7B4A"/>
    <w:rsid w:val="007D7D23"/>
    <w:rsid w:val="007D7E3C"/>
    <w:rsid w:val="007E0018"/>
    <w:rsid w:val="007E0582"/>
    <w:rsid w:val="007E05DF"/>
    <w:rsid w:val="007E06F3"/>
    <w:rsid w:val="007E0B84"/>
    <w:rsid w:val="007E0FBD"/>
    <w:rsid w:val="007E105F"/>
    <w:rsid w:val="007E16D0"/>
    <w:rsid w:val="007E1D7F"/>
    <w:rsid w:val="007E2662"/>
    <w:rsid w:val="007E2E8F"/>
    <w:rsid w:val="007E331F"/>
    <w:rsid w:val="007E37DD"/>
    <w:rsid w:val="007E393E"/>
    <w:rsid w:val="007E3BA3"/>
    <w:rsid w:val="007E3E76"/>
    <w:rsid w:val="007E4126"/>
    <w:rsid w:val="007E430C"/>
    <w:rsid w:val="007E43AD"/>
    <w:rsid w:val="007E45A0"/>
    <w:rsid w:val="007E4696"/>
    <w:rsid w:val="007E4727"/>
    <w:rsid w:val="007E4900"/>
    <w:rsid w:val="007E4A20"/>
    <w:rsid w:val="007E4AAF"/>
    <w:rsid w:val="007E4BD6"/>
    <w:rsid w:val="007E5367"/>
    <w:rsid w:val="007E5B9C"/>
    <w:rsid w:val="007E5C6D"/>
    <w:rsid w:val="007E5DC3"/>
    <w:rsid w:val="007E61F9"/>
    <w:rsid w:val="007E6D89"/>
    <w:rsid w:val="007E6F73"/>
    <w:rsid w:val="007E70FD"/>
    <w:rsid w:val="007E741A"/>
    <w:rsid w:val="007E748B"/>
    <w:rsid w:val="007E7531"/>
    <w:rsid w:val="007E7AB4"/>
    <w:rsid w:val="007F00E0"/>
    <w:rsid w:val="007F010A"/>
    <w:rsid w:val="007F04F3"/>
    <w:rsid w:val="007F0539"/>
    <w:rsid w:val="007F0AF4"/>
    <w:rsid w:val="007F0B0E"/>
    <w:rsid w:val="007F0E45"/>
    <w:rsid w:val="007F1923"/>
    <w:rsid w:val="007F1CCE"/>
    <w:rsid w:val="007F1D64"/>
    <w:rsid w:val="007F23ED"/>
    <w:rsid w:val="007F252D"/>
    <w:rsid w:val="007F2603"/>
    <w:rsid w:val="007F2A89"/>
    <w:rsid w:val="007F2B24"/>
    <w:rsid w:val="007F2BA7"/>
    <w:rsid w:val="007F30A5"/>
    <w:rsid w:val="007F3AAF"/>
    <w:rsid w:val="007F3CBF"/>
    <w:rsid w:val="007F4358"/>
    <w:rsid w:val="007F43D9"/>
    <w:rsid w:val="007F4902"/>
    <w:rsid w:val="007F4B44"/>
    <w:rsid w:val="007F4F51"/>
    <w:rsid w:val="007F5048"/>
    <w:rsid w:val="007F5313"/>
    <w:rsid w:val="007F5454"/>
    <w:rsid w:val="007F56A0"/>
    <w:rsid w:val="007F57DB"/>
    <w:rsid w:val="007F582A"/>
    <w:rsid w:val="007F58E7"/>
    <w:rsid w:val="007F5DCA"/>
    <w:rsid w:val="007F5FED"/>
    <w:rsid w:val="007F6995"/>
    <w:rsid w:val="007F6A62"/>
    <w:rsid w:val="007F744C"/>
    <w:rsid w:val="007F767E"/>
    <w:rsid w:val="007F7CA5"/>
    <w:rsid w:val="0080106F"/>
    <w:rsid w:val="008010F8"/>
    <w:rsid w:val="00801104"/>
    <w:rsid w:val="00801752"/>
    <w:rsid w:val="00801BDD"/>
    <w:rsid w:val="00801F01"/>
    <w:rsid w:val="00801FC6"/>
    <w:rsid w:val="00802073"/>
    <w:rsid w:val="008021B7"/>
    <w:rsid w:val="008027E4"/>
    <w:rsid w:val="008032A1"/>
    <w:rsid w:val="00803306"/>
    <w:rsid w:val="008033B5"/>
    <w:rsid w:val="0080382C"/>
    <w:rsid w:val="00803F7D"/>
    <w:rsid w:val="0080418A"/>
    <w:rsid w:val="00804899"/>
    <w:rsid w:val="0080494B"/>
    <w:rsid w:val="008049F0"/>
    <w:rsid w:val="00805077"/>
    <w:rsid w:val="00805087"/>
    <w:rsid w:val="00805123"/>
    <w:rsid w:val="00805179"/>
    <w:rsid w:val="00805188"/>
    <w:rsid w:val="00805813"/>
    <w:rsid w:val="00805895"/>
    <w:rsid w:val="00805FD8"/>
    <w:rsid w:val="00806140"/>
    <w:rsid w:val="00806844"/>
    <w:rsid w:val="00806D69"/>
    <w:rsid w:val="00806ED3"/>
    <w:rsid w:val="008075F9"/>
    <w:rsid w:val="0080768C"/>
    <w:rsid w:val="00807730"/>
    <w:rsid w:val="00807D19"/>
    <w:rsid w:val="00807F3E"/>
    <w:rsid w:val="008100F0"/>
    <w:rsid w:val="00810BCF"/>
    <w:rsid w:val="00810C83"/>
    <w:rsid w:val="00810CE1"/>
    <w:rsid w:val="00811231"/>
    <w:rsid w:val="0081139B"/>
    <w:rsid w:val="0081164A"/>
    <w:rsid w:val="00811786"/>
    <w:rsid w:val="00811D42"/>
    <w:rsid w:val="00811EE4"/>
    <w:rsid w:val="008121F2"/>
    <w:rsid w:val="00812AC8"/>
    <w:rsid w:val="00812C76"/>
    <w:rsid w:val="00813825"/>
    <w:rsid w:val="00813901"/>
    <w:rsid w:val="00813A6C"/>
    <w:rsid w:val="00813B3A"/>
    <w:rsid w:val="00813D38"/>
    <w:rsid w:val="00813FDC"/>
    <w:rsid w:val="00814667"/>
    <w:rsid w:val="00814720"/>
    <w:rsid w:val="00814F78"/>
    <w:rsid w:val="00815668"/>
    <w:rsid w:val="00815C11"/>
    <w:rsid w:val="00815FC1"/>
    <w:rsid w:val="00816096"/>
    <w:rsid w:val="008164CA"/>
    <w:rsid w:val="008168AE"/>
    <w:rsid w:val="00816AF3"/>
    <w:rsid w:val="00817952"/>
    <w:rsid w:val="00817FB9"/>
    <w:rsid w:val="00820815"/>
    <w:rsid w:val="008208E0"/>
    <w:rsid w:val="00820931"/>
    <w:rsid w:val="008209E8"/>
    <w:rsid w:val="00820BC3"/>
    <w:rsid w:val="0082130B"/>
    <w:rsid w:val="0082132C"/>
    <w:rsid w:val="008216AA"/>
    <w:rsid w:val="00821792"/>
    <w:rsid w:val="0082248D"/>
    <w:rsid w:val="00822621"/>
    <w:rsid w:val="0082265C"/>
    <w:rsid w:val="00822816"/>
    <w:rsid w:val="0082294C"/>
    <w:rsid w:val="00822D8F"/>
    <w:rsid w:val="00822F5A"/>
    <w:rsid w:val="00823A9C"/>
    <w:rsid w:val="00823BA5"/>
    <w:rsid w:val="00824014"/>
    <w:rsid w:val="0082404A"/>
    <w:rsid w:val="0082405F"/>
    <w:rsid w:val="008240FC"/>
    <w:rsid w:val="008241BD"/>
    <w:rsid w:val="00824227"/>
    <w:rsid w:val="008247A4"/>
    <w:rsid w:val="00824A34"/>
    <w:rsid w:val="00824B30"/>
    <w:rsid w:val="00824BD1"/>
    <w:rsid w:val="00824E65"/>
    <w:rsid w:val="00824E79"/>
    <w:rsid w:val="00825174"/>
    <w:rsid w:val="008251B2"/>
    <w:rsid w:val="00825250"/>
    <w:rsid w:val="0082579E"/>
    <w:rsid w:val="00825808"/>
    <w:rsid w:val="00825EB6"/>
    <w:rsid w:val="00825F0D"/>
    <w:rsid w:val="00826418"/>
    <w:rsid w:val="00826FDC"/>
    <w:rsid w:val="00827251"/>
    <w:rsid w:val="00827912"/>
    <w:rsid w:val="00827CF6"/>
    <w:rsid w:val="00827D54"/>
    <w:rsid w:val="00830193"/>
    <w:rsid w:val="008308E6"/>
    <w:rsid w:val="00830964"/>
    <w:rsid w:val="00830E6C"/>
    <w:rsid w:val="00830FCF"/>
    <w:rsid w:val="0083107C"/>
    <w:rsid w:val="008314CD"/>
    <w:rsid w:val="0083153D"/>
    <w:rsid w:val="00831B42"/>
    <w:rsid w:val="00831D4E"/>
    <w:rsid w:val="00831F69"/>
    <w:rsid w:val="00832693"/>
    <w:rsid w:val="00832709"/>
    <w:rsid w:val="00832798"/>
    <w:rsid w:val="0083281B"/>
    <w:rsid w:val="00832ACA"/>
    <w:rsid w:val="00832B5B"/>
    <w:rsid w:val="00832BB1"/>
    <w:rsid w:val="008334FB"/>
    <w:rsid w:val="00833C91"/>
    <w:rsid w:val="008340D2"/>
    <w:rsid w:val="008343E7"/>
    <w:rsid w:val="008348D3"/>
    <w:rsid w:val="00835885"/>
    <w:rsid w:val="00835F13"/>
    <w:rsid w:val="0083606B"/>
    <w:rsid w:val="00836547"/>
    <w:rsid w:val="008366DE"/>
    <w:rsid w:val="00836B97"/>
    <w:rsid w:val="00836E45"/>
    <w:rsid w:val="00836EE4"/>
    <w:rsid w:val="0083700C"/>
    <w:rsid w:val="00837AD3"/>
    <w:rsid w:val="00837CE1"/>
    <w:rsid w:val="00840074"/>
    <w:rsid w:val="00840306"/>
    <w:rsid w:val="008405C9"/>
    <w:rsid w:val="00840868"/>
    <w:rsid w:val="00840D2A"/>
    <w:rsid w:val="0084105F"/>
    <w:rsid w:val="00841B77"/>
    <w:rsid w:val="00841E7A"/>
    <w:rsid w:val="0084213F"/>
    <w:rsid w:val="0084219E"/>
    <w:rsid w:val="00842278"/>
    <w:rsid w:val="00842454"/>
    <w:rsid w:val="008429AD"/>
    <w:rsid w:val="008439FE"/>
    <w:rsid w:val="00843AC4"/>
    <w:rsid w:val="0084445A"/>
    <w:rsid w:val="0084463B"/>
    <w:rsid w:val="00844F26"/>
    <w:rsid w:val="0084509E"/>
    <w:rsid w:val="008456C1"/>
    <w:rsid w:val="008457DB"/>
    <w:rsid w:val="00845973"/>
    <w:rsid w:val="00845D7F"/>
    <w:rsid w:val="00845DBA"/>
    <w:rsid w:val="00845EC3"/>
    <w:rsid w:val="00845F0A"/>
    <w:rsid w:val="0084613A"/>
    <w:rsid w:val="0084630B"/>
    <w:rsid w:val="008468AE"/>
    <w:rsid w:val="00846F51"/>
    <w:rsid w:val="0084706A"/>
    <w:rsid w:val="00847D09"/>
    <w:rsid w:val="0085001D"/>
    <w:rsid w:val="00850305"/>
    <w:rsid w:val="008509EC"/>
    <w:rsid w:val="00850DCF"/>
    <w:rsid w:val="00850E80"/>
    <w:rsid w:val="00850FE6"/>
    <w:rsid w:val="008511C7"/>
    <w:rsid w:val="0085133F"/>
    <w:rsid w:val="0085184E"/>
    <w:rsid w:val="0085195A"/>
    <w:rsid w:val="00851EA9"/>
    <w:rsid w:val="00851FE6"/>
    <w:rsid w:val="0085230F"/>
    <w:rsid w:val="008524C0"/>
    <w:rsid w:val="00852B7D"/>
    <w:rsid w:val="00852BB6"/>
    <w:rsid w:val="00853022"/>
    <w:rsid w:val="00853507"/>
    <w:rsid w:val="0085392F"/>
    <w:rsid w:val="0085419D"/>
    <w:rsid w:val="00854378"/>
    <w:rsid w:val="008549DA"/>
    <w:rsid w:val="00854CE4"/>
    <w:rsid w:val="00854F67"/>
    <w:rsid w:val="00855151"/>
    <w:rsid w:val="00855306"/>
    <w:rsid w:val="008557E4"/>
    <w:rsid w:val="00855B03"/>
    <w:rsid w:val="00855D0A"/>
    <w:rsid w:val="00855EB8"/>
    <w:rsid w:val="008560BB"/>
    <w:rsid w:val="00856D54"/>
    <w:rsid w:val="008570B3"/>
    <w:rsid w:val="0085716D"/>
    <w:rsid w:val="0085752B"/>
    <w:rsid w:val="008576FA"/>
    <w:rsid w:val="0085797E"/>
    <w:rsid w:val="00857C33"/>
    <w:rsid w:val="00857E59"/>
    <w:rsid w:val="00857E83"/>
    <w:rsid w:val="00860696"/>
    <w:rsid w:val="00860F91"/>
    <w:rsid w:val="008612CF"/>
    <w:rsid w:val="0086167F"/>
    <w:rsid w:val="00861B5F"/>
    <w:rsid w:val="0086223B"/>
    <w:rsid w:val="008622D2"/>
    <w:rsid w:val="008626B1"/>
    <w:rsid w:val="00862A36"/>
    <w:rsid w:val="00862D66"/>
    <w:rsid w:val="00862F60"/>
    <w:rsid w:val="00863326"/>
    <w:rsid w:val="00863420"/>
    <w:rsid w:val="00863456"/>
    <w:rsid w:val="00863494"/>
    <w:rsid w:val="008637F5"/>
    <w:rsid w:val="00863CED"/>
    <w:rsid w:val="00863E5E"/>
    <w:rsid w:val="00864452"/>
    <w:rsid w:val="008647B5"/>
    <w:rsid w:val="00864F2A"/>
    <w:rsid w:val="008652B4"/>
    <w:rsid w:val="0086533E"/>
    <w:rsid w:val="008656A9"/>
    <w:rsid w:val="00865927"/>
    <w:rsid w:val="00865BFC"/>
    <w:rsid w:val="00865CE0"/>
    <w:rsid w:val="00865CE2"/>
    <w:rsid w:val="00865E0A"/>
    <w:rsid w:val="0086637D"/>
    <w:rsid w:val="00866540"/>
    <w:rsid w:val="008676BA"/>
    <w:rsid w:val="0086782B"/>
    <w:rsid w:val="008706A8"/>
    <w:rsid w:val="00870A86"/>
    <w:rsid w:val="00870FB1"/>
    <w:rsid w:val="00871149"/>
    <w:rsid w:val="00871531"/>
    <w:rsid w:val="00871AA7"/>
    <w:rsid w:val="008725D3"/>
    <w:rsid w:val="008726B8"/>
    <w:rsid w:val="00872A1C"/>
    <w:rsid w:val="00872C46"/>
    <w:rsid w:val="00872F63"/>
    <w:rsid w:val="008731C5"/>
    <w:rsid w:val="008736F4"/>
    <w:rsid w:val="00873B78"/>
    <w:rsid w:val="00873D3C"/>
    <w:rsid w:val="00873EB9"/>
    <w:rsid w:val="0087404F"/>
    <w:rsid w:val="0087470A"/>
    <w:rsid w:val="00874BBC"/>
    <w:rsid w:val="00874D76"/>
    <w:rsid w:val="008751D7"/>
    <w:rsid w:val="0087542D"/>
    <w:rsid w:val="00875D7A"/>
    <w:rsid w:val="00875DD2"/>
    <w:rsid w:val="00876411"/>
    <w:rsid w:val="0087688E"/>
    <w:rsid w:val="00876AB5"/>
    <w:rsid w:val="00876AE6"/>
    <w:rsid w:val="00876B11"/>
    <w:rsid w:val="00877222"/>
    <w:rsid w:val="008777BC"/>
    <w:rsid w:val="00877C0A"/>
    <w:rsid w:val="00877DFD"/>
    <w:rsid w:val="00877F45"/>
    <w:rsid w:val="00880032"/>
    <w:rsid w:val="00880184"/>
    <w:rsid w:val="00880808"/>
    <w:rsid w:val="0088158E"/>
    <w:rsid w:val="00881774"/>
    <w:rsid w:val="00881D55"/>
    <w:rsid w:val="00882B34"/>
    <w:rsid w:val="00882F26"/>
    <w:rsid w:val="00883397"/>
    <w:rsid w:val="00883533"/>
    <w:rsid w:val="00883CD8"/>
    <w:rsid w:val="00883EF2"/>
    <w:rsid w:val="0088437D"/>
    <w:rsid w:val="00884539"/>
    <w:rsid w:val="00884B69"/>
    <w:rsid w:val="00884CF8"/>
    <w:rsid w:val="00884E0A"/>
    <w:rsid w:val="00884E36"/>
    <w:rsid w:val="00884E62"/>
    <w:rsid w:val="008854FB"/>
    <w:rsid w:val="00885618"/>
    <w:rsid w:val="008856E6"/>
    <w:rsid w:val="00885890"/>
    <w:rsid w:val="00885A0B"/>
    <w:rsid w:val="00885AD5"/>
    <w:rsid w:val="00885B41"/>
    <w:rsid w:val="00885F10"/>
    <w:rsid w:val="00885F5E"/>
    <w:rsid w:val="008860C2"/>
    <w:rsid w:val="0088617B"/>
    <w:rsid w:val="008861C9"/>
    <w:rsid w:val="00886656"/>
    <w:rsid w:val="008867D2"/>
    <w:rsid w:val="0088756F"/>
    <w:rsid w:val="00887637"/>
    <w:rsid w:val="00887B10"/>
    <w:rsid w:val="00887DCC"/>
    <w:rsid w:val="0089018A"/>
    <w:rsid w:val="008909D4"/>
    <w:rsid w:val="00890A8F"/>
    <w:rsid w:val="00890AD1"/>
    <w:rsid w:val="00890DEE"/>
    <w:rsid w:val="00890E16"/>
    <w:rsid w:val="00891488"/>
    <w:rsid w:val="0089161C"/>
    <w:rsid w:val="00891E74"/>
    <w:rsid w:val="00892007"/>
    <w:rsid w:val="008924F3"/>
    <w:rsid w:val="008925DC"/>
    <w:rsid w:val="00892C4C"/>
    <w:rsid w:val="00893039"/>
    <w:rsid w:val="0089378F"/>
    <w:rsid w:val="008937A0"/>
    <w:rsid w:val="00893A40"/>
    <w:rsid w:val="008940B2"/>
    <w:rsid w:val="008943CA"/>
    <w:rsid w:val="008948F6"/>
    <w:rsid w:val="00894BC9"/>
    <w:rsid w:val="0089646E"/>
    <w:rsid w:val="0089678D"/>
    <w:rsid w:val="00896D3C"/>
    <w:rsid w:val="00896E51"/>
    <w:rsid w:val="0089739E"/>
    <w:rsid w:val="00897447"/>
    <w:rsid w:val="008975C3"/>
    <w:rsid w:val="0089767D"/>
    <w:rsid w:val="00897822"/>
    <w:rsid w:val="00897CB8"/>
    <w:rsid w:val="008A004C"/>
    <w:rsid w:val="008A0449"/>
    <w:rsid w:val="008A0757"/>
    <w:rsid w:val="008A08E9"/>
    <w:rsid w:val="008A1665"/>
    <w:rsid w:val="008A174D"/>
    <w:rsid w:val="008A1911"/>
    <w:rsid w:val="008A1A0A"/>
    <w:rsid w:val="008A1A94"/>
    <w:rsid w:val="008A1AF1"/>
    <w:rsid w:val="008A1D4F"/>
    <w:rsid w:val="008A1D86"/>
    <w:rsid w:val="008A1E18"/>
    <w:rsid w:val="008A1EC2"/>
    <w:rsid w:val="008A1FFB"/>
    <w:rsid w:val="008A23B1"/>
    <w:rsid w:val="008A244F"/>
    <w:rsid w:val="008A2808"/>
    <w:rsid w:val="008A2F33"/>
    <w:rsid w:val="008A30A7"/>
    <w:rsid w:val="008A336A"/>
    <w:rsid w:val="008A3463"/>
    <w:rsid w:val="008A34C6"/>
    <w:rsid w:val="008A3735"/>
    <w:rsid w:val="008A3D69"/>
    <w:rsid w:val="008A3E2C"/>
    <w:rsid w:val="008A3FE3"/>
    <w:rsid w:val="008A3FF9"/>
    <w:rsid w:val="008A4064"/>
    <w:rsid w:val="008A407B"/>
    <w:rsid w:val="008A4353"/>
    <w:rsid w:val="008A43C0"/>
    <w:rsid w:val="008A4DAF"/>
    <w:rsid w:val="008A598E"/>
    <w:rsid w:val="008A5E08"/>
    <w:rsid w:val="008A5F54"/>
    <w:rsid w:val="008A6182"/>
    <w:rsid w:val="008A64A3"/>
    <w:rsid w:val="008A777C"/>
    <w:rsid w:val="008A796C"/>
    <w:rsid w:val="008A7992"/>
    <w:rsid w:val="008B0690"/>
    <w:rsid w:val="008B0696"/>
    <w:rsid w:val="008B1152"/>
    <w:rsid w:val="008B140D"/>
    <w:rsid w:val="008B1548"/>
    <w:rsid w:val="008B1830"/>
    <w:rsid w:val="008B1942"/>
    <w:rsid w:val="008B1E2F"/>
    <w:rsid w:val="008B25F5"/>
    <w:rsid w:val="008B2E67"/>
    <w:rsid w:val="008B30D7"/>
    <w:rsid w:val="008B3518"/>
    <w:rsid w:val="008B3C24"/>
    <w:rsid w:val="008B419C"/>
    <w:rsid w:val="008B44BB"/>
    <w:rsid w:val="008B4EF5"/>
    <w:rsid w:val="008B5148"/>
    <w:rsid w:val="008B5324"/>
    <w:rsid w:val="008B64B5"/>
    <w:rsid w:val="008B6680"/>
    <w:rsid w:val="008B69CC"/>
    <w:rsid w:val="008B6D94"/>
    <w:rsid w:val="008B70D7"/>
    <w:rsid w:val="008B775C"/>
    <w:rsid w:val="008C030D"/>
    <w:rsid w:val="008C0412"/>
    <w:rsid w:val="008C0721"/>
    <w:rsid w:val="008C08FE"/>
    <w:rsid w:val="008C0AF2"/>
    <w:rsid w:val="008C1165"/>
    <w:rsid w:val="008C11C8"/>
    <w:rsid w:val="008C1380"/>
    <w:rsid w:val="008C1C46"/>
    <w:rsid w:val="008C1D91"/>
    <w:rsid w:val="008C1F2B"/>
    <w:rsid w:val="008C2052"/>
    <w:rsid w:val="008C2726"/>
    <w:rsid w:val="008C2865"/>
    <w:rsid w:val="008C33AE"/>
    <w:rsid w:val="008C3759"/>
    <w:rsid w:val="008C378C"/>
    <w:rsid w:val="008C382B"/>
    <w:rsid w:val="008C3FA4"/>
    <w:rsid w:val="008C40E8"/>
    <w:rsid w:val="008C41E8"/>
    <w:rsid w:val="008C4433"/>
    <w:rsid w:val="008C47E8"/>
    <w:rsid w:val="008C4A14"/>
    <w:rsid w:val="008C4B3C"/>
    <w:rsid w:val="008C4CF4"/>
    <w:rsid w:val="008C4D01"/>
    <w:rsid w:val="008C4FE0"/>
    <w:rsid w:val="008C5098"/>
    <w:rsid w:val="008C5309"/>
    <w:rsid w:val="008C5880"/>
    <w:rsid w:val="008C58DD"/>
    <w:rsid w:val="008C600D"/>
    <w:rsid w:val="008C605E"/>
    <w:rsid w:val="008C619A"/>
    <w:rsid w:val="008C61F2"/>
    <w:rsid w:val="008C6686"/>
    <w:rsid w:val="008C671D"/>
    <w:rsid w:val="008C68D7"/>
    <w:rsid w:val="008C69C2"/>
    <w:rsid w:val="008C6C16"/>
    <w:rsid w:val="008C6D44"/>
    <w:rsid w:val="008C6D48"/>
    <w:rsid w:val="008C7028"/>
    <w:rsid w:val="008C7252"/>
    <w:rsid w:val="008C7475"/>
    <w:rsid w:val="008C765B"/>
    <w:rsid w:val="008C7712"/>
    <w:rsid w:val="008C7ACB"/>
    <w:rsid w:val="008D0502"/>
    <w:rsid w:val="008D0B75"/>
    <w:rsid w:val="008D0DDD"/>
    <w:rsid w:val="008D0FBE"/>
    <w:rsid w:val="008D10F9"/>
    <w:rsid w:val="008D194F"/>
    <w:rsid w:val="008D2157"/>
    <w:rsid w:val="008D22B1"/>
    <w:rsid w:val="008D27D9"/>
    <w:rsid w:val="008D29EC"/>
    <w:rsid w:val="008D2C51"/>
    <w:rsid w:val="008D3473"/>
    <w:rsid w:val="008D3693"/>
    <w:rsid w:val="008D3C9E"/>
    <w:rsid w:val="008D3F5F"/>
    <w:rsid w:val="008D4A60"/>
    <w:rsid w:val="008D4B7F"/>
    <w:rsid w:val="008D545A"/>
    <w:rsid w:val="008D545F"/>
    <w:rsid w:val="008D5638"/>
    <w:rsid w:val="008D6007"/>
    <w:rsid w:val="008D65B3"/>
    <w:rsid w:val="008D68FF"/>
    <w:rsid w:val="008D6D66"/>
    <w:rsid w:val="008D6DD7"/>
    <w:rsid w:val="008D705A"/>
    <w:rsid w:val="008D7A6F"/>
    <w:rsid w:val="008D7F84"/>
    <w:rsid w:val="008E02A1"/>
    <w:rsid w:val="008E0370"/>
    <w:rsid w:val="008E03AD"/>
    <w:rsid w:val="008E0B00"/>
    <w:rsid w:val="008E10D2"/>
    <w:rsid w:val="008E15AD"/>
    <w:rsid w:val="008E1AB4"/>
    <w:rsid w:val="008E1FE0"/>
    <w:rsid w:val="008E2301"/>
    <w:rsid w:val="008E2BC8"/>
    <w:rsid w:val="008E2D39"/>
    <w:rsid w:val="008E2F5A"/>
    <w:rsid w:val="008E2F9B"/>
    <w:rsid w:val="008E3031"/>
    <w:rsid w:val="008E3053"/>
    <w:rsid w:val="008E39BF"/>
    <w:rsid w:val="008E39D6"/>
    <w:rsid w:val="008E3A88"/>
    <w:rsid w:val="008E3AC0"/>
    <w:rsid w:val="008E45C2"/>
    <w:rsid w:val="008E470C"/>
    <w:rsid w:val="008E4715"/>
    <w:rsid w:val="008E4722"/>
    <w:rsid w:val="008E524A"/>
    <w:rsid w:val="008E5275"/>
    <w:rsid w:val="008E53F0"/>
    <w:rsid w:val="008E580A"/>
    <w:rsid w:val="008E5904"/>
    <w:rsid w:val="008E5B92"/>
    <w:rsid w:val="008E6090"/>
    <w:rsid w:val="008E60D6"/>
    <w:rsid w:val="008E621E"/>
    <w:rsid w:val="008E658F"/>
    <w:rsid w:val="008E673F"/>
    <w:rsid w:val="008E676F"/>
    <w:rsid w:val="008E6C0C"/>
    <w:rsid w:val="008E6D8A"/>
    <w:rsid w:val="008E7FD9"/>
    <w:rsid w:val="008E7FFC"/>
    <w:rsid w:val="008F00D2"/>
    <w:rsid w:val="008F01F0"/>
    <w:rsid w:val="008F039D"/>
    <w:rsid w:val="008F0780"/>
    <w:rsid w:val="008F0A49"/>
    <w:rsid w:val="008F1163"/>
    <w:rsid w:val="008F1532"/>
    <w:rsid w:val="008F164F"/>
    <w:rsid w:val="008F19CD"/>
    <w:rsid w:val="008F278E"/>
    <w:rsid w:val="008F2A29"/>
    <w:rsid w:val="008F3318"/>
    <w:rsid w:val="008F33F3"/>
    <w:rsid w:val="008F3430"/>
    <w:rsid w:val="008F3B24"/>
    <w:rsid w:val="008F3F06"/>
    <w:rsid w:val="008F4659"/>
    <w:rsid w:val="008F4E25"/>
    <w:rsid w:val="008F4FBB"/>
    <w:rsid w:val="008F575F"/>
    <w:rsid w:val="008F57E9"/>
    <w:rsid w:val="008F590F"/>
    <w:rsid w:val="008F59BE"/>
    <w:rsid w:val="008F5BA9"/>
    <w:rsid w:val="008F5D36"/>
    <w:rsid w:val="008F61AA"/>
    <w:rsid w:val="008F6533"/>
    <w:rsid w:val="008F67F2"/>
    <w:rsid w:val="008F745D"/>
    <w:rsid w:val="008F74FA"/>
    <w:rsid w:val="008F7C8E"/>
    <w:rsid w:val="008F7CB7"/>
    <w:rsid w:val="008F7E5B"/>
    <w:rsid w:val="00900E87"/>
    <w:rsid w:val="009011A1"/>
    <w:rsid w:val="00901798"/>
    <w:rsid w:val="00901BD4"/>
    <w:rsid w:val="00901E21"/>
    <w:rsid w:val="00901E95"/>
    <w:rsid w:val="0090214B"/>
    <w:rsid w:val="0090222A"/>
    <w:rsid w:val="00902406"/>
    <w:rsid w:val="00902CB9"/>
    <w:rsid w:val="00902CF1"/>
    <w:rsid w:val="00902F86"/>
    <w:rsid w:val="009030C7"/>
    <w:rsid w:val="009031AE"/>
    <w:rsid w:val="00903210"/>
    <w:rsid w:val="00903286"/>
    <w:rsid w:val="009033D1"/>
    <w:rsid w:val="009035DB"/>
    <w:rsid w:val="00903D89"/>
    <w:rsid w:val="00904266"/>
    <w:rsid w:val="0090451D"/>
    <w:rsid w:val="00904525"/>
    <w:rsid w:val="00904967"/>
    <w:rsid w:val="00904E1F"/>
    <w:rsid w:val="00904F00"/>
    <w:rsid w:val="00904F7A"/>
    <w:rsid w:val="0090512D"/>
    <w:rsid w:val="00905581"/>
    <w:rsid w:val="0090583A"/>
    <w:rsid w:val="00905D18"/>
    <w:rsid w:val="00906015"/>
    <w:rsid w:val="00906202"/>
    <w:rsid w:val="00906265"/>
    <w:rsid w:val="0090692A"/>
    <w:rsid w:val="009069F8"/>
    <w:rsid w:val="00906FD7"/>
    <w:rsid w:val="00907102"/>
    <w:rsid w:val="0090710F"/>
    <w:rsid w:val="0090761D"/>
    <w:rsid w:val="00907B3C"/>
    <w:rsid w:val="00907B71"/>
    <w:rsid w:val="00907E87"/>
    <w:rsid w:val="00910131"/>
    <w:rsid w:val="00910189"/>
    <w:rsid w:val="009105E9"/>
    <w:rsid w:val="00910AC4"/>
    <w:rsid w:val="00910CD0"/>
    <w:rsid w:val="00911539"/>
    <w:rsid w:val="009117DE"/>
    <w:rsid w:val="00912660"/>
    <w:rsid w:val="00912A66"/>
    <w:rsid w:val="00912B3C"/>
    <w:rsid w:val="00912BF8"/>
    <w:rsid w:val="009130A9"/>
    <w:rsid w:val="0091325B"/>
    <w:rsid w:val="009132BB"/>
    <w:rsid w:val="00913406"/>
    <w:rsid w:val="0091382C"/>
    <w:rsid w:val="00913CBF"/>
    <w:rsid w:val="00913D19"/>
    <w:rsid w:val="00913DC5"/>
    <w:rsid w:val="00914093"/>
    <w:rsid w:val="0091450A"/>
    <w:rsid w:val="0091454B"/>
    <w:rsid w:val="0091465C"/>
    <w:rsid w:val="00914C0A"/>
    <w:rsid w:val="00914CFF"/>
    <w:rsid w:val="00915544"/>
    <w:rsid w:val="009158EC"/>
    <w:rsid w:val="009159D7"/>
    <w:rsid w:val="0091651E"/>
    <w:rsid w:val="009166FE"/>
    <w:rsid w:val="00916C61"/>
    <w:rsid w:val="00917022"/>
    <w:rsid w:val="00917083"/>
    <w:rsid w:val="009171EC"/>
    <w:rsid w:val="00917264"/>
    <w:rsid w:val="009179D6"/>
    <w:rsid w:val="00917F25"/>
    <w:rsid w:val="009201B5"/>
    <w:rsid w:val="009204F8"/>
    <w:rsid w:val="0092055A"/>
    <w:rsid w:val="00920D3B"/>
    <w:rsid w:val="009212B8"/>
    <w:rsid w:val="00921724"/>
    <w:rsid w:val="009218B5"/>
    <w:rsid w:val="00921BAC"/>
    <w:rsid w:val="009226D0"/>
    <w:rsid w:val="00922A0A"/>
    <w:rsid w:val="00922B37"/>
    <w:rsid w:val="00922B7D"/>
    <w:rsid w:val="00922BFC"/>
    <w:rsid w:val="00922F81"/>
    <w:rsid w:val="00922F8A"/>
    <w:rsid w:val="0092356C"/>
    <w:rsid w:val="009237B5"/>
    <w:rsid w:val="00923D8C"/>
    <w:rsid w:val="0092401B"/>
    <w:rsid w:val="009243C5"/>
    <w:rsid w:val="00924402"/>
    <w:rsid w:val="009247D2"/>
    <w:rsid w:val="009249D0"/>
    <w:rsid w:val="00924AF1"/>
    <w:rsid w:val="00924B70"/>
    <w:rsid w:val="00924CC6"/>
    <w:rsid w:val="009257D2"/>
    <w:rsid w:val="009259CB"/>
    <w:rsid w:val="00925A46"/>
    <w:rsid w:val="00925A4D"/>
    <w:rsid w:val="00925C1D"/>
    <w:rsid w:val="00925D76"/>
    <w:rsid w:val="00925EAD"/>
    <w:rsid w:val="009260BB"/>
    <w:rsid w:val="009264ED"/>
    <w:rsid w:val="00926BEE"/>
    <w:rsid w:val="009271C8"/>
    <w:rsid w:val="009275D4"/>
    <w:rsid w:val="0092797E"/>
    <w:rsid w:val="00927B6E"/>
    <w:rsid w:val="00927BDD"/>
    <w:rsid w:val="0093051C"/>
    <w:rsid w:val="009305BC"/>
    <w:rsid w:val="009306FC"/>
    <w:rsid w:val="0093086A"/>
    <w:rsid w:val="00930F4D"/>
    <w:rsid w:val="0093154C"/>
    <w:rsid w:val="00931BAB"/>
    <w:rsid w:val="00931C0C"/>
    <w:rsid w:val="00932056"/>
    <w:rsid w:val="009321B5"/>
    <w:rsid w:val="009325DB"/>
    <w:rsid w:val="00932B26"/>
    <w:rsid w:val="00932C42"/>
    <w:rsid w:val="00932C4C"/>
    <w:rsid w:val="00932D6E"/>
    <w:rsid w:val="00933147"/>
    <w:rsid w:val="0093361D"/>
    <w:rsid w:val="00933860"/>
    <w:rsid w:val="00933A38"/>
    <w:rsid w:val="00933EC0"/>
    <w:rsid w:val="00933FE3"/>
    <w:rsid w:val="009346B2"/>
    <w:rsid w:val="009347CB"/>
    <w:rsid w:val="009348DA"/>
    <w:rsid w:val="009349A6"/>
    <w:rsid w:val="009349F2"/>
    <w:rsid w:val="00934C04"/>
    <w:rsid w:val="009351A4"/>
    <w:rsid w:val="009354A7"/>
    <w:rsid w:val="00935605"/>
    <w:rsid w:val="00935B2F"/>
    <w:rsid w:val="00935B67"/>
    <w:rsid w:val="00935EB1"/>
    <w:rsid w:val="0093661C"/>
    <w:rsid w:val="009372D4"/>
    <w:rsid w:val="009373E1"/>
    <w:rsid w:val="00937441"/>
    <w:rsid w:val="009375BB"/>
    <w:rsid w:val="0093785D"/>
    <w:rsid w:val="00937A50"/>
    <w:rsid w:val="00937E87"/>
    <w:rsid w:val="00940350"/>
    <w:rsid w:val="00940458"/>
    <w:rsid w:val="00940755"/>
    <w:rsid w:val="0094083F"/>
    <w:rsid w:val="009408B1"/>
    <w:rsid w:val="009410B4"/>
    <w:rsid w:val="00941528"/>
    <w:rsid w:val="00941B20"/>
    <w:rsid w:val="00941B98"/>
    <w:rsid w:val="00941E6C"/>
    <w:rsid w:val="00942054"/>
    <w:rsid w:val="0094209B"/>
    <w:rsid w:val="009421B9"/>
    <w:rsid w:val="009428E2"/>
    <w:rsid w:val="00942A6A"/>
    <w:rsid w:val="00942CC0"/>
    <w:rsid w:val="0094320C"/>
    <w:rsid w:val="009432BC"/>
    <w:rsid w:val="00943341"/>
    <w:rsid w:val="00943895"/>
    <w:rsid w:val="00944123"/>
    <w:rsid w:val="00944257"/>
    <w:rsid w:val="00944BF9"/>
    <w:rsid w:val="00945093"/>
    <w:rsid w:val="00945476"/>
    <w:rsid w:val="00945666"/>
    <w:rsid w:val="0094567D"/>
    <w:rsid w:val="009457FC"/>
    <w:rsid w:val="00946176"/>
    <w:rsid w:val="00946620"/>
    <w:rsid w:val="00946A5F"/>
    <w:rsid w:val="00946ACD"/>
    <w:rsid w:val="009474B7"/>
    <w:rsid w:val="00947B15"/>
    <w:rsid w:val="00947E44"/>
    <w:rsid w:val="00947FF3"/>
    <w:rsid w:val="00950274"/>
    <w:rsid w:val="00950651"/>
    <w:rsid w:val="00950782"/>
    <w:rsid w:val="0095087F"/>
    <w:rsid w:val="009511F5"/>
    <w:rsid w:val="00951428"/>
    <w:rsid w:val="009516C9"/>
    <w:rsid w:val="0095176F"/>
    <w:rsid w:val="00951B22"/>
    <w:rsid w:val="00951BFF"/>
    <w:rsid w:val="009522BE"/>
    <w:rsid w:val="009528C3"/>
    <w:rsid w:val="009532E6"/>
    <w:rsid w:val="00953BCB"/>
    <w:rsid w:val="00953CB0"/>
    <w:rsid w:val="00954600"/>
    <w:rsid w:val="0095467C"/>
    <w:rsid w:val="00954A82"/>
    <w:rsid w:val="00954CBB"/>
    <w:rsid w:val="00954D58"/>
    <w:rsid w:val="00954F6D"/>
    <w:rsid w:val="00955491"/>
    <w:rsid w:val="009554AB"/>
    <w:rsid w:val="00955B94"/>
    <w:rsid w:val="0095669E"/>
    <w:rsid w:val="009568F8"/>
    <w:rsid w:val="00956B00"/>
    <w:rsid w:val="00956F02"/>
    <w:rsid w:val="009576BD"/>
    <w:rsid w:val="00957EDF"/>
    <w:rsid w:val="00960267"/>
    <w:rsid w:val="009605F4"/>
    <w:rsid w:val="009609ED"/>
    <w:rsid w:val="00960B5C"/>
    <w:rsid w:val="00960C43"/>
    <w:rsid w:val="00960CDE"/>
    <w:rsid w:val="00960E45"/>
    <w:rsid w:val="00960F32"/>
    <w:rsid w:val="00960FDA"/>
    <w:rsid w:val="009613C9"/>
    <w:rsid w:val="0096148A"/>
    <w:rsid w:val="0096156D"/>
    <w:rsid w:val="009618B0"/>
    <w:rsid w:val="009620A3"/>
    <w:rsid w:val="009623C6"/>
    <w:rsid w:val="009626CA"/>
    <w:rsid w:val="009627CD"/>
    <w:rsid w:val="009631EB"/>
    <w:rsid w:val="00963356"/>
    <w:rsid w:val="00963413"/>
    <w:rsid w:val="0096358B"/>
    <w:rsid w:val="009636BE"/>
    <w:rsid w:val="009636F9"/>
    <w:rsid w:val="00963971"/>
    <w:rsid w:val="0096412E"/>
    <w:rsid w:val="00964139"/>
    <w:rsid w:val="00964376"/>
    <w:rsid w:val="0096489B"/>
    <w:rsid w:val="00964E4F"/>
    <w:rsid w:val="009652DF"/>
    <w:rsid w:val="009656B6"/>
    <w:rsid w:val="009657CE"/>
    <w:rsid w:val="00965A28"/>
    <w:rsid w:val="00965D23"/>
    <w:rsid w:val="0096614C"/>
    <w:rsid w:val="0096725A"/>
    <w:rsid w:val="009673CF"/>
    <w:rsid w:val="00967470"/>
    <w:rsid w:val="0096756C"/>
    <w:rsid w:val="00967785"/>
    <w:rsid w:val="00967939"/>
    <w:rsid w:val="00967BAE"/>
    <w:rsid w:val="00967C11"/>
    <w:rsid w:val="00970075"/>
    <w:rsid w:val="0097049F"/>
    <w:rsid w:val="00970A46"/>
    <w:rsid w:val="00970B1D"/>
    <w:rsid w:val="00970BBE"/>
    <w:rsid w:val="00970D95"/>
    <w:rsid w:val="00970EFB"/>
    <w:rsid w:val="0097161A"/>
    <w:rsid w:val="0097183D"/>
    <w:rsid w:val="009718D6"/>
    <w:rsid w:val="00971986"/>
    <w:rsid w:val="009719EB"/>
    <w:rsid w:val="00971FA8"/>
    <w:rsid w:val="0097232E"/>
    <w:rsid w:val="00972642"/>
    <w:rsid w:val="00972929"/>
    <w:rsid w:val="00972AFE"/>
    <w:rsid w:val="009737B6"/>
    <w:rsid w:val="009739B6"/>
    <w:rsid w:val="00973C1C"/>
    <w:rsid w:val="00973FDC"/>
    <w:rsid w:val="009743A3"/>
    <w:rsid w:val="009748C6"/>
    <w:rsid w:val="00974AEB"/>
    <w:rsid w:val="00974E19"/>
    <w:rsid w:val="009756BD"/>
    <w:rsid w:val="00975D15"/>
    <w:rsid w:val="00976453"/>
    <w:rsid w:val="009768E6"/>
    <w:rsid w:val="00976CC1"/>
    <w:rsid w:val="00976F76"/>
    <w:rsid w:val="0097709F"/>
    <w:rsid w:val="00977285"/>
    <w:rsid w:val="009774C6"/>
    <w:rsid w:val="009774E8"/>
    <w:rsid w:val="009778BD"/>
    <w:rsid w:val="00980170"/>
    <w:rsid w:val="009804B8"/>
    <w:rsid w:val="0098081A"/>
    <w:rsid w:val="00980A7E"/>
    <w:rsid w:val="00981146"/>
    <w:rsid w:val="009812C4"/>
    <w:rsid w:val="00981344"/>
    <w:rsid w:val="009819D3"/>
    <w:rsid w:val="00981EAE"/>
    <w:rsid w:val="00981F98"/>
    <w:rsid w:val="00983477"/>
    <w:rsid w:val="009834FF"/>
    <w:rsid w:val="009836DB"/>
    <w:rsid w:val="0098403C"/>
    <w:rsid w:val="0098431E"/>
    <w:rsid w:val="009845A7"/>
    <w:rsid w:val="009846A7"/>
    <w:rsid w:val="00984D54"/>
    <w:rsid w:val="00984E31"/>
    <w:rsid w:val="00984ED6"/>
    <w:rsid w:val="00985081"/>
    <w:rsid w:val="009853F7"/>
    <w:rsid w:val="009857CB"/>
    <w:rsid w:val="009859F1"/>
    <w:rsid w:val="00985A7E"/>
    <w:rsid w:val="00986220"/>
    <w:rsid w:val="009864D8"/>
    <w:rsid w:val="00986DFC"/>
    <w:rsid w:val="0098701C"/>
    <w:rsid w:val="00987371"/>
    <w:rsid w:val="00987B63"/>
    <w:rsid w:val="00987EDF"/>
    <w:rsid w:val="00990220"/>
    <w:rsid w:val="00990BFD"/>
    <w:rsid w:val="00991285"/>
    <w:rsid w:val="00991287"/>
    <w:rsid w:val="00991476"/>
    <w:rsid w:val="00991828"/>
    <w:rsid w:val="00991B6E"/>
    <w:rsid w:val="00992070"/>
    <w:rsid w:val="00992582"/>
    <w:rsid w:val="009925EB"/>
    <w:rsid w:val="00993105"/>
    <w:rsid w:val="00993538"/>
    <w:rsid w:val="00993B9D"/>
    <w:rsid w:val="00994058"/>
    <w:rsid w:val="009943B5"/>
    <w:rsid w:val="00994B84"/>
    <w:rsid w:val="00994F96"/>
    <w:rsid w:val="00995274"/>
    <w:rsid w:val="00995289"/>
    <w:rsid w:val="0099540E"/>
    <w:rsid w:val="0099569F"/>
    <w:rsid w:val="00995B88"/>
    <w:rsid w:val="00995E8A"/>
    <w:rsid w:val="00995F9C"/>
    <w:rsid w:val="009962E8"/>
    <w:rsid w:val="00996715"/>
    <w:rsid w:val="00996767"/>
    <w:rsid w:val="0099696E"/>
    <w:rsid w:val="00996DE3"/>
    <w:rsid w:val="0099717D"/>
    <w:rsid w:val="00997C52"/>
    <w:rsid w:val="009A0183"/>
    <w:rsid w:val="009A035D"/>
    <w:rsid w:val="009A06AE"/>
    <w:rsid w:val="009A07AD"/>
    <w:rsid w:val="009A0A31"/>
    <w:rsid w:val="009A0BEE"/>
    <w:rsid w:val="009A0C20"/>
    <w:rsid w:val="009A0F87"/>
    <w:rsid w:val="009A1179"/>
    <w:rsid w:val="009A13AC"/>
    <w:rsid w:val="009A1741"/>
    <w:rsid w:val="009A198C"/>
    <w:rsid w:val="009A19AB"/>
    <w:rsid w:val="009A1F7B"/>
    <w:rsid w:val="009A25D8"/>
    <w:rsid w:val="009A25E0"/>
    <w:rsid w:val="009A2756"/>
    <w:rsid w:val="009A28BF"/>
    <w:rsid w:val="009A2D33"/>
    <w:rsid w:val="009A325E"/>
    <w:rsid w:val="009A374F"/>
    <w:rsid w:val="009A3778"/>
    <w:rsid w:val="009A405F"/>
    <w:rsid w:val="009A437D"/>
    <w:rsid w:val="009A482F"/>
    <w:rsid w:val="009A4F03"/>
    <w:rsid w:val="009A4FFB"/>
    <w:rsid w:val="009A5618"/>
    <w:rsid w:val="009A5718"/>
    <w:rsid w:val="009A587E"/>
    <w:rsid w:val="009A5FF6"/>
    <w:rsid w:val="009A6575"/>
    <w:rsid w:val="009A7323"/>
    <w:rsid w:val="009A7580"/>
    <w:rsid w:val="009A7B3C"/>
    <w:rsid w:val="009A7F50"/>
    <w:rsid w:val="009B0EAF"/>
    <w:rsid w:val="009B115A"/>
    <w:rsid w:val="009B1309"/>
    <w:rsid w:val="009B1699"/>
    <w:rsid w:val="009B1798"/>
    <w:rsid w:val="009B2CA9"/>
    <w:rsid w:val="009B2D36"/>
    <w:rsid w:val="009B2F8A"/>
    <w:rsid w:val="009B31CC"/>
    <w:rsid w:val="009B3545"/>
    <w:rsid w:val="009B3872"/>
    <w:rsid w:val="009B3A6E"/>
    <w:rsid w:val="009B3CB7"/>
    <w:rsid w:val="009B4025"/>
    <w:rsid w:val="009B4337"/>
    <w:rsid w:val="009B433F"/>
    <w:rsid w:val="009B43BA"/>
    <w:rsid w:val="009B450C"/>
    <w:rsid w:val="009B470E"/>
    <w:rsid w:val="009B49B6"/>
    <w:rsid w:val="009B4AAF"/>
    <w:rsid w:val="009B4C04"/>
    <w:rsid w:val="009B50A1"/>
    <w:rsid w:val="009B57AA"/>
    <w:rsid w:val="009B68FD"/>
    <w:rsid w:val="009B6D9F"/>
    <w:rsid w:val="009B7005"/>
    <w:rsid w:val="009B70D9"/>
    <w:rsid w:val="009B71C0"/>
    <w:rsid w:val="009B720E"/>
    <w:rsid w:val="009B75DF"/>
    <w:rsid w:val="009B7C90"/>
    <w:rsid w:val="009C00D0"/>
    <w:rsid w:val="009C0608"/>
    <w:rsid w:val="009C0D54"/>
    <w:rsid w:val="009C10F6"/>
    <w:rsid w:val="009C20A8"/>
    <w:rsid w:val="009C23BD"/>
    <w:rsid w:val="009C25AB"/>
    <w:rsid w:val="009C2A37"/>
    <w:rsid w:val="009C34AF"/>
    <w:rsid w:val="009C35CC"/>
    <w:rsid w:val="009C3AB7"/>
    <w:rsid w:val="009C3BA1"/>
    <w:rsid w:val="009C3FF9"/>
    <w:rsid w:val="009C4562"/>
    <w:rsid w:val="009C46B9"/>
    <w:rsid w:val="009C4AF2"/>
    <w:rsid w:val="009C4B85"/>
    <w:rsid w:val="009C56D4"/>
    <w:rsid w:val="009C5B2C"/>
    <w:rsid w:val="009C5B40"/>
    <w:rsid w:val="009C5E6E"/>
    <w:rsid w:val="009C5EFF"/>
    <w:rsid w:val="009C5F25"/>
    <w:rsid w:val="009C5FFF"/>
    <w:rsid w:val="009C6116"/>
    <w:rsid w:val="009C68D6"/>
    <w:rsid w:val="009C777E"/>
    <w:rsid w:val="009C7F35"/>
    <w:rsid w:val="009D0139"/>
    <w:rsid w:val="009D015A"/>
    <w:rsid w:val="009D04E7"/>
    <w:rsid w:val="009D0B2E"/>
    <w:rsid w:val="009D0CA5"/>
    <w:rsid w:val="009D0D68"/>
    <w:rsid w:val="009D0E94"/>
    <w:rsid w:val="009D0EA6"/>
    <w:rsid w:val="009D1E67"/>
    <w:rsid w:val="009D1EA3"/>
    <w:rsid w:val="009D2AE6"/>
    <w:rsid w:val="009D2D9D"/>
    <w:rsid w:val="009D368B"/>
    <w:rsid w:val="009D3ECC"/>
    <w:rsid w:val="009D409E"/>
    <w:rsid w:val="009D40FF"/>
    <w:rsid w:val="009D474B"/>
    <w:rsid w:val="009D489B"/>
    <w:rsid w:val="009D49BC"/>
    <w:rsid w:val="009D4F5D"/>
    <w:rsid w:val="009D51E7"/>
    <w:rsid w:val="009D549C"/>
    <w:rsid w:val="009D5EB8"/>
    <w:rsid w:val="009D6331"/>
    <w:rsid w:val="009D654A"/>
    <w:rsid w:val="009D6829"/>
    <w:rsid w:val="009D707C"/>
    <w:rsid w:val="009D7544"/>
    <w:rsid w:val="009D7672"/>
    <w:rsid w:val="009D786E"/>
    <w:rsid w:val="009D7A5E"/>
    <w:rsid w:val="009D7C38"/>
    <w:rsid w:val="009D7F1B"/>
    <w:rsid w:val="009E0184"/>
    <w:rsid w:val="009E0384"/>
    <w:rsid w:val="009E05CD"/>
    <w:rsid w:val="009E080A"/>
    <w:rsid w:val="009E0952"/>
    <w:rsid w:val="009E0BB4"/>
    <w:rsid w:val="009E0E53"/>
    <w:rsid w:val="009E11B2"/>
    <w:rsid w:val="009E11BD"/>
    <w:rsid w:val="009E1553"/>
    <w:rsid w:val="009E19BC"/>
    <w:rsid w:val="009E1A2A"/>
    <w:rsid w:val="009E1BF1"/>
    <w:rsid w:val="009E2052"/>
    <w:rsid w:val="009E2233"/>
    <w:rsid w:val="009E24E0"/>
    <w:rsid w:val="009E2FE7"/>
    <w:rsid w:val="009E34D0"/>
    <w:rsid w:val="009E357C"/>
    <w:rsid w:val="009E35BC"/>
    <w:rsid w:val="009E3627"/>
    <w:rsid w:val="009E36B7"/>
    <w:rsid w:val="009E3732"/>
    <w:rsid w:val="009E3D44"/>
    <w:rsid w:val="009E3DE0"/>
    <w:rsid w:val="009E3F7E"/>
    <w:rsid w:val="009E410C"/>
    <w:rsid w:val="009E4486"/>
    <w:rsid w:val="009E49D5"/>
    <w:rsid w:val="009E4AAC"/>
    <w:rsid w:val="009E4C24"/>
    <w:rsid w:val="009E5376"/>
    <w:rsid w:val="009E597C"/>
    <w:rsid w:val="009E5BAF"/>
    <w:rsid w:val="009E5F77"/>
    <w:rsid w:val="009E62C2"/>
    <w:rsid w:val="009E6B03"/>
    <w:rsid w:val="009E6C8E"/>
    <w:rsid w:val="009E7753"/>
    <w:rsid w:val="009E7FB0"/>
    <w:rsid w:val="009F0345"/>
    <w:rsid w:val="009F03AD"/>
    <w:rsid w:val="009F0A70"/>
    <w:rsid w:val="009F0B62"/>
    <w:rsid w:val="009F0CC7"/>
    <w:rsid w:val="009F0DD6"/>
    <w:rsid w:val="009F1393"/>
    <w:rsid w:val="009F1842"/>
    <w:rsid w:val="009F1917"/>
    <w:rsid w:val="009F1993"/>
    <w:rsid w:val="009F1B34"/>
    <w:rsid w:val="009F1C0D"/>
    <w:rsid w:val="009F1C88"/>
    <w:rsid w:val="009F22AE"/>
    <w:rsid w:val="009F2485"/>
    <w:rsid w:val="009F2890"/>
    <w:rsid w:val="009F2BF8"/>
    <w:rsid w:val="009F2FFF"/>
    <w:rsid w:val="009F312B"/>
    <w:rsid w:val="009F35B0"/>
    <w:rsid w:val="009F36E3"/>
    <w:rsid w:val="009F3BB3"/>
    <w:rsid w:val="009F41A3"/>
    <w:rsid w:val="009F4850"/>
    <w:rsid w:val="009F4D7C"/>
    <w:rsid w:val="009F5080"/>
    <w:rsid w:val="009F5151"/>
    <w:rsid w:val="009F5724"/>
    <w:rsid w:val="009F595C"/>
    <w:rsid w:val="009F5B18"/>
    <w:rsid w:val="009F5F27"/>
    <w:rsid w:val="009F6068"/>
    <w:rsid w:val="009F68CB"/>
    <w:rsid w:val="009F6F6C"/>
    <w:rsid w:val="009F6FB7"/>
    <w:rsid w:val="009F700A"/>
    <w:rsid w:val="009F714D"/>
    <w:rsid w:val="009F747B"/>
    <w:rsid w:val="00A0031B"/>
    <w:rsid w:val="00A010C1"/>
    <w:rsid w:val="00A011F6"/>
    <w:rsid w:val="00A0125C"/>
    <w:rsid w:val="00A0138C"/>
    <w:rsid w:val="00A0157C"/>
    <w:rsid w:val="00A01AEE"/>
    <w:rsid w:val="00A01E81"/>
    <w:rsid w:val="00A02136"/>
    <w:rsid w:val="00A022CB"/>
    <w:rsid w:val="00A023DD"/>
    <w:rsid w:val="00A0266D"/>
    <w:rsid w:val="00A029CA"/>
    <w:rsid w:val="00A02A8D"/>
    <w:rsid w:val="00A02D78"/>
    <w:rsid w:val="00A02F67"/>
    <w:rsid w:val="00A02FF7"/>
    <w:rsid w:val="00A03CD3"/>
    <w:rsid w:val="00A03D49"/>
    <w:rsid w:val="00A04125"/>
    <w:rsid w:val="00A04A4A"/>
    <w:rsid w:val="00A04AF4"/>
    <w:rsid w:val="00A04B21"/>
    <w:rsid w:val="00A04B91"/>
    <w:rsid w:val="00A04F64"/>
    <w:rsid w:val="00A04FAC"/>
    <w:rsid w:val="00A05738"/>
    <w:rsid w:val="00A05750"/>
    <w:rsid w:val="00A05C7B"/>
    <w:rsid w:val="00A05D63"/>
    <w:rsid w:val="00A066EF"/>
    <w:rsid w:val="00A067CE"/>
    <w:rsid w:val="00A06A94"/>
    <w:rsid w:val="00A06F15"/>
    <w:rsid w:val="00A06FA1"/>
    <w:rsid w:val="00A070AF"/>
    <w:rsid w:val="00A07216"/>
    <w:rsid w:val="00A07D7D"/>
    <w:rsid w:val="00A07E94"/>
    <w:rsid w:val="00A102D0"/>
    <w:rsid w:val="00A104DF"/>
    <w:rsid w:val="00A10852"/>
    <w:rsid w:val="00A10BC8"/>
    <w:rsid w:val="00A10CEB"/>
    <w:rsid w:val="00A10D5F"/>
    <w:rsid w:val="00A10FC3"/>
    <w:rsid w:val="00A129A4"/>
    <w:rsid w:val="00A12B69"/>
    <w:rsid w:val="00A13040"/>
    <w:rsid w:val="00A130B2"/>
    <w:rsid w:val="00A13242"/>
    <w:rsid w:val="00A13DFF"/>
    <w:rsid w:val="00A13FB3"/>
    <w:rsid w:val="00A14083"/>
    <w:rsid w:val="00A14242"/>
    <w:rsid w:val="00A1505B"/>
    <w:rsid w:val="00A15402"/>
    <w:rsid w:val="00A16026"/>
    <w:rsid w:val="00A16378"/>
    <w:rsid w:val="00A16461"/>
    <w:rsid w:val="00A167BC"/>
    <w:rsid w:val="00A170DC"/>
    <w:rsid w:val="00A1737D"/>
    <w:rsid w:val="00A174BF"/>
    <w:rsid w:val="00A17C8A"/>
    <w:rsid w:val="00A201E9"/>
    <w:rsid w:val="00A202A0"/>
    <w:rsid w:val="00A208D7"/>
    <w:rsid w:val="00A20CF9"/>
    <w:rsid w:val="00A20F1E"/>
    <w:rsid w:val="00A21BC0"/>
    <w:rsid w:val="00A223E7"/>
    <w:rsid w:val="00A22635"/>
    <w:rsid w:val="00A22737"/>
    <w:rsid w:val="00A22C94"/>
    <w:rsid w:val="00A22F4A"/>
    <w:rsid w:val="00A23070"/>
    <w:rsid w:val="00A23116"/>
    <w:rsid w:val="00A23673"/>
    <w:rsid w:val="00A2389C"/>
    <w:rsid w:val="00A23A92"/>
    <w:rsid w:val="00A23AB9"/>
    <w:rsid w:val="00A23F79"/>
    <w:rsid w:val="00A243CB"/>
    <w:rsid w:val="00A2497E"/>
    <w:rsid w:val="00A24FB8"/>
    <w:rsid w:val="00A24FDD"/>
    <w:rsid w:val="00A253CB"/>
    <w:rsid w:val="00A2544C"/>
    <w:rsid w:val="00A254E6"/>
    <w:rsid w:val="00A25AD7"/>
    <w:rsid w:val="00A25B0C"/>
    <w:rsid w:val="00A260E5"/>
    <w:rsid w:val="00A265DF"/>
    <w:rsid w:val="00A2673F"/>
    <w:rsid w:val="00A26FD6"/>
    <w:rsid w:val="00A270F3"/>
    <w:rsid w:val="00A272E7"/>
    <w:rsid w:val="00A2751C"/>
    <w:rsid w:val="00A2790A"/>
    <w:rsid w:val="00A27986"/>
    <w:rsid w:val="00A27BBC"/>
    <w:rsid w:val="00A27C60"/>
    <w:rsid w:val="00A2D1B5"/>
    <w:rsid w:val="00A30A76"/>
    <w:rsid w:val="00A30C81"/>
    <w:rsid w:val="00A30FE2"/>
    <w:rsid w:val="00A31065"/>
    <w:rsid w:val="00A31592"/>
    <w:rsid w:val="00A31A21"/>
    <w:rsid w:val="00A31FF1"/>
    <w:rsid w:val="00A3214B"/>
    <w:rsid w:val="00A3225F"/>
    <w:rsid w:val="00A3243A"/>
    <w:rsid w:val="00A325F8"/>
    <w:rsid w:val="00A32FC6"/>
    <w:rsid w:val="00A33126"/>
    <w:rsid w:val="00A338B4"/>
    <w:rsid w:val="00A35453"/>
    <w:rsid w:val="00A35939"/>
    <w:rsid w:val="00A35CDE"/>
    <w:rsid w:val="00A35E47"/>
    <w:rsid w:val="00A36C6A"/>
    <w:rsid w:val="00A36E5C"/>
    <w:rsid w:val="00A375D4"/>
    <w:rsid w:val="00A37610"/>
    <w:rsid w:val="00A376D1"/>
    <w:rsid w:val="00A377B6"/>
    <w:rsid w:val="00A379E3"/>
    <w:rsid w:val="00A37B9B"/>
    <w:rsid w:val="00A37D36"/>
    <w:rsid w:val="00A37DDE"/>
    <w:rsid w:val="00A400B8"/>
    <w:rsid w:val="00A4028C"/>
    <w:rsid w:val="00A405E7"/>
    <w:rsid w:val="00A40FFD"/>
    <w:rsid w:val="00A4129A"/>
    <w:rsid w:val="00A41324"/>
    <w:rsid w:val="00A4151C"/>
    <w:rsid w:val="00A416A5"/>
    <w:rsid w:val="00A41C4F"/>
    <w:rsid w:val="00A41DF0"/>
    <w:rsid w:val="00A41F3E"/>
    <w:rsid w:val="00A423E1"/>
    <w:rsid w:val="00A42628"/>
    <w:rsid w:val="00A429E7"/>
    <w:rsid w:val="00A42A5D"/>
    <w:rsid w:val="00A42F3F"/>
    <w:rsid w:val="00A43B36"/>
    <w:rsid w:val="00A43DD4"/>
    <w:rsid w:val="00A43EA2"/>
    <w:rsid w:val="00A44049"/>
    <w:rsid w:val="00A443BE"/>
    <w:rsid w:val="00A447BE"/>
    <w:rsid w:val="00A44A2D"/>
    <w:rsid w:val="00A451C5"/>
    <w:rsid w:val="00A45886"/>
    <w:rsid w:val="00A46180"/>
    <w:rsid w:val="00A46326"/>
    <w:rsid w:val="00A46475"/>
    <w:rsid w:val="00A467D8"/>
    <w:rsid w:val="00A467F1"/>
    <w:rsid w:val="00A4686D"/>
    <w:rsid w:val="00A46B72"/>
    <w:rsid w:val="00A46D52"/>
    <w:rsid w:val="00A46FEF"/>
    <w:rsid w:val="00A47B0B"/>
    <w:rsid w:val="00A47DB3"/>
    <w:rsid w:val="00A5019D"/>
    <w:rsid w:val="00A50200"/>
    <w:rsid w:val="00A503BA"/>
    <w:rsid w:val="00A50557"/>
    <w:rsid w:val="00A505BB"/>
    <w:rsid w:val="00A50748"/>
    <w:rsid w:val="00A507C5"/>
    <w:rsid w:val="00A508E3"/>
    <w:rsid w:val="00A50C00"/>
    <w:rsid w:val="00A5104B"/>
    <w:rsid w:val="00A512D7"/>
    <w:rsid w:val="00A512F0"/>
    <w:rsid w:val="00A51AFD"/>
    <w:rsid w:val="00A51D08"/>
    <w:rsid w:val="00A51E8A"/>
    <w:rsid w:val="00A527C4"/>
    <w:rsid w:val="00A5286E"/>
    <w:rsid w:val="00A52A88"/>
    <w:rsid w:val="00A52BC7"/>
    <w:rsid w:val="00A52DCD"/>
    <w:rsid w:val="00A530D3"/>
    <w:rsid w:val="00A5326B"/>
    <w:rsid w:val="00A536FB"/>
    <w:rsid w:val="00A53850"/>
    <w:rsid w:val="00A53CBB"/>
    <w:rsid w:val="00A54193"/>
    <w:rsid w:val="00A5460C"/>
    <w:rsid w:val="00A54A91"/>
    <w:rsid w:val="00A54C4E"/>
    <w:rsid w:val="00A54F5E"/>
    <w:rsid w:val="00A5501B"/>
    <w:rsid w:val="00A558E5"/>
    <w:rsid w:val="00A562E6"/>
    <w:rsid w:val="00A563A8"/>
    <w:rsid w:val="00A567B2"/>
    <w:rsid w:val="00A56A58"/>
    <w:rsid w:val="00A57742"/>
    <w:rsid w:val="00A5792A"/>
    <w:rsid w:val="00A60321"/>
    <w:rsid w:val="00A6061F"/>
    <w:rsid w:val="00A60796"/>
    <w:rsid w:val="00A61401"/>
    <w:rsid w:val="00A61615"/>
    <w:rsid w:val="00A61812"/>
    <w:rsid w:val="00A62163"/>
    <w:rsid w:val="00A62561"/>
    <w:rsid w:val="00A62607"/>
    <w:rsid w:val="00A6267A"/>
    <w:rsid w:val="00A62763"/>
    <w:rsid w:val="00A629F1"/>
    <w:rsid w:val="00A62C1F"/>
    <w:rsid w:val="00A6317C"/>
    <w:rsid w:val="00A63521"/>
    <w:rsid w:val="00A64781"/>
    <w:rsid w:val="00A64926"/>
    <w:rsid w:val="00A64F6E"/>
    <w:rsid w:val="00A655C6"/>
    <w:rsid w:val="00A65671"/>
    <w:rsid w:val="00A65B04"/>
    <w:rsid w:val="00A65B6D"/>
    <w:rsid w:val="00A662CF"/>
    <w:rsid w:val="00A66563"/>
    <w:rsid w:val="00A66927"/>
    <w:rsid w:val="00A66BA7"/>
    <w:rsid w:val="00A66F37"/>
    <w:rsid w:val="00A67642"/>
    <w:rsid w:val="00A6764A"/>
    <w:rsid w:val="00A67706"/>
    <w:rsid w:val="00A67904"/>
    <w:rsid w:val="00A67919"/>
    <w:rsid w:val="00A67F67"/>
    <w:rsid w:val="00A70395"/>
    <w:rsid w:val="00A7059A"/>
    <w:rsid w:val="00A70692"/>
    <w:rsid w:val="00A70864"/>
    <w:rsid w:val="00A709D5"/>
    <w:rsid w:val="00A71028"/>
    <w:rsid w:val="00A714BD"/>
    <w:rsid w:val="00A715CF"/>
    <w:rsid w:val="00A71793"/>
    <w:rsid w:val="00A7197D"/>
    <w:rsid w:val="00A71C1A"/>
    <w:rsid w:val="00A71E57"/>
    <w:rsid w:val="00A71EAC"/>
    <w:rsid w:val="00A7213A"/>
    <w:rsid w:val="00A729D1"/>
    <w:rsid w:val="00A72ACE"/>
    <w:rsid w:val="00A73398"/>
    <w:rsid w:val="00A7339B"/>
    <w:rsid w:val="00A738CB"/>
    <w:rsid w:val="00A73ABC"/>
    <w:rsid w:val="00A73FF2"/>
    <w:rsid w:val="00A7403F"/>
    <w:rsid w:val="00A7419B"/>
    <w:rsid w:val="00A7424B"/>
    <w:rsid w:val="00A74254"/>
    <w:rsid w:val="00A7435F"/>
    <w:rsid w:val="00A744B1"/>
    <w:rsid w:val="00A74758"/>
    <w:rsid w:val="00A74BE4"/>
    <w:rsid w:val="00A75104"/>
    <w:rsid w:val="00A75216"/>
    <w:rsid w:val="00A75363"/>
    <w:rsid w:val="00A757A3"/>
    <w:rsid w:val="00A76193"/>
    <w:rsid w:val="00A761D6"/>
    <w:rsid w:val="00A7629B"/>
    <w:rsid w:val="00A7631F"/>
    <w:rsid w:val="00A765C9"/>
    <w:rsid w:val="00A76A49"/>
    <w:rsid w:val="00A76B24"/>
    <w:rsid w:val="00A76C4B"/>
    <w:rsid w:val="00A76CE1"/>
    <w:rsid w:val="00A77110"/>
    <w:rsid w:val="00A774DD"/>
    <w:rsid w:val="00A778B1"/>
    <w:rsid w:val="00A77FAB"/>
    <w:rsid w:val="00A8089A"/>
    <w:rsid w:val="00A80A7D"/>
    <w:rsid w:val="00A80AD6"/>
    <w:rsid w:val="00A80F51"/>
    <w:rsid w:val="00A80F8D"/>
    <w:rsid w:val="00A8147B"/>
    <w:rsid w:val="00A81666"/>
    <w:rsid w:val="00A81975"/>
    <w:rsid w:val="00A81EBD"/>
    <w:rsid w:val="00A81FCE"/>
    <w:rsid w:val="00A820E2"/>
    <w:rsid w:val="00A82547"/>
    <w:rsid w:val="00A82B83"/>
    <w:rsid w:val="00A82D96"/>
    <w:rsid w:val="00A830B1"/>
    <w:rsid w:val="00A8313E"/>
    <w:rsid w:val="00A833E2"/>
    <w:rsid w:val="00A83496"/>
    <w:rsid w:val="00A837DF"/>
    <w:rsid w:val="00A8405E"/>
    <w:rsid w:val="00A84A25"/>
    <w:rsid w:val="00A84D72"/>
    <w:rsid w:val="00A852EE"/>
    <w:rsid w:val="00A855A0"/>
    <w:rsid w:val="00A85620"/>
    <w:rsid w:val="00A8597E"/>
    <w:rsid w:val="00A85AA2"/>
    <w:rsid w:val="00A8658F"/>
    <w:rsid w:val="00A86D12"/>
    <w:rsid w:val="00A86FFE"/>
    <w:rsid w:val="00A8750E"/>
    <w:rsid w:val="00A87BAC"/>
    <w:rsid w:val="00A90201"/>
    <w:rsid w:val="00A904E7"/>
    <w:rsid w:val="00A90622"/>
    <w:rsid w:val="00A9084A"/>
    <w:rsid w:val="00A908E9"/>
    <w:rsid w:val="00A90D39"/>
    <w:rsid w:val="00A90E94"/>
    <w:rsid w:val="00A91FCB"/>
    <w:rsid w:val="00A920AB"/>
    <w:rsid w:val="00A92360"/>
    <w:rsid w:val="00A92441"/>
    <w:rsid w:val="00A92B90"/>
    <w:rsid w:val="00A92D56"/>
    <w:rsid w:val="00A92FF3"/>
    <w:rsid w:val="00A930FA"/>
    <w:rsid w:val="00A93117"/>
    <w:rsid w:val="00A931C5"/>
    <w:rsid w:val="00A93B35"/>
    <w:rsid w:val="00A93FDB"/>
    <w:rsid w:val="00A940D3"/>
    <w:rsid w:val="00A942F5"/>
    <w:rsid w:val="00A9434D"/>
    <w:rsid w:val="00A9453E"/>
    <w:rsid w:val="00A94AA5"/>
    <w:rsid w:val="00A94CE5"/>
    <w:rsid w:val="00A94FC7"/>
    <w:rsid w:val="00A957A8"/>
    <w:rsid w:val="00A95B0F"/>
    <w:rsid w:val="00A95CD6"/>
    <w:rsid w:val="00A95E02"/>
    <w:rsid w:val="00A95E91"/>
    <w:rsid w:val="00A95FD8"/>
    <w:rsid w:val="00A961B6"/>
    <w:rsid w:val="00A964DB"/>
    <w:rsid w:val="00A96568"/>
    <w:rsid w:val="00A96662"/>
    <w:rsid w:val="00A96847"/>
    <w:rsid w:val="00A96C7E"/>
    <w:rsid w:val="00A96C99"/>
    <w:rsid w:val="00A96DAF"/>
    <w:rsid w:val="00A97120"/>
    <w:rsid w:val="00A9756D"/>
    <w:rsid w:val="00A9782A"/>
    <w:rsid w:val="00A97AFC"/>
    <w:rsid w:val="00A97C23"/>
    <w:rsid w:val="00AA07C1"/>
    <w:rsid w:val="00AA0CC0"/>
    <w:rsid w:val="00AA14F8"/>
    <w:rsid w:val="00AA1714"/>
    <w:rsid w:val="00AA1D45"/>
    <w:rsid w:val="00AA1F90"/>
    <w:rsid w:val="00AA2617"/>
    <w:rsid w:val="00AA28AA"/>
    <w:rsid w:val="00AA28B9"/>
    <w:rsid w:val="00AA29FC"/>
    <w:rsid w:val="00AA2F8A"/>
    <w:rsid w:val="00AA3493"/>
    <w:rsid w:val="00AA3704"/>
    <w:rsid w:val="00AA3A78"/>
    <w:rsid w:val="00AA3F5E"/>
    <w:rsid w:val="00AA4494"/>
    <w:rsid w:val="00AA46DF"/>
    <w:rsid w:val="00AA5000"/>
    <w:rsid w:val="00AA639B"/>
    <w:rsid w:val="00AA6488"/>
    <w:rsid w:val="00AA656C"/>
    <w:rsid w:val="00AA6E6C"/>
    <w:rsid w:val="00AA723F"/>
    <w:rsid w:val="00AA7554"/>
    <w:rsid w:val="00AA758E"/>
    <w:rsid w:val="00AA75C9"/>
    <w:rsid w:val="00AA796F"/>
    <w:rsid w:val="00AA7AD3"/>
    <w:rsid w:val="00AB018B"/>
    <w:rsid w:val="00AB025C"/>
    <w:rsid w:val="00AB0449"/>
    <w:rsid w:val="00AB06E8"/>
    <w:rsid w:val="00AB0BD9"/>
    <w:rsid w:val="00AB0C0B"/>
    <w:rsid w:val="00AB0CCC"/>
    <w:rsid w:val="00AB0F61"/>
    <w:rsid w:val="00AB122E"/>
    <w:rsid w:val="00AB171D"/>
    <w:rsid w:val="00AB1B19"/>
    <w:rsid w:val="00AB218D"/>
    <w:rsid w:val="00AB2494"/>
    <w:rsid w:val="00AB25C2"/>
    <w:rsid w:val="00AB3008"/>
    <w:rsid w:val="00AB306B"/>
    <w:rsid w:val="00AB3320"/>
    <w:rsid w:val="00AB3345"/>
    <w:rsid w:val="00AB357B"/>
    <w:rsid w:val="00AB39C0"/>
    <w:rsid w:val="00AB3E6A"/>
    <w:rsid w:val="00AB3F4A"/>
    <w:rsid w:val="00AB4C52"/>
    <w:rsid w:val="00AB5284"/>
    <w:rsid w:val="00AB57FE"/>
    <w:rsid w:val="00AB5807"/>
    <w:rsid w:val="00AB5A22"/>
    <w:rsid w:val="00AB5C66"/>
    <w:rsid w:val="00AB6279"/>
    <w:rsid w:val="00AB639A"/>
    <w:rsid w:val="00AB65F9"/>
    <w:rsid w:val="00AB66CA"/>
    <w:rsid w:val="00AB6B0D"/>
    <w:rsid w:val="00AB6B79"/>
    <w:rsid w:val="00AB6FB4"/>
    <w:rsid w:val="00AB77E3"/>
    <w:rsid w:val="00AB7A1D"/>
    <w:rsid w:val="00AC01F6"/>
    <w:rsid w:val="00AC0825"/>
    <w:rsid w:val="00AC11D9"/>
    <w:rsid w:val="00AC1CB6"/>
    <w:rsid w:val="00AC1D19"/>
    <w:rsid w:val="00AC1EF3"/>
    <w:rsid w:val="00AC28A8"/>
    <w:rsid w:val="00AC29EA"/>
    <w:rsid w:val="00AC2AAB"/>
    <w:rsid w:val="00AC2BEB"/>
    <w:rsid w:val="00AC2C9E"/>
    <w:rsid w:val="00AC2F62"/>
    <w:rsid w:val="00AC2FCC"/>
    <w:rsid w:val="00AC3371"/>
    <w:rsid w:val="00AC3856"/>
    <w:rsid w:val="00AC3D1A"/>
    <w:rsid w:val="00AC44C8"/>
    <w:rsid w:val="00AC4687"/>
    <w:rsid w:val="00AC4B8C"/>
    <w:rsid w:val="00AC4D85"/>
    <w:rsid w:val="00AC5676"/>
    <w:rsid w:val="00AC5B41"/>
    <w:rsid w:val="00AC5BDB"/>
    <w:rsid w:val="00AC647C"/>
    <w:rsid w:val="00AC6C44"/>
    <w:rsid w:val="00AC6D4E"/>
    <w:rsid w:val="00AC70BA"/>
    <w:rsid w:val="00AC70FA"/>
    <w:rsid w:val="00AC73AA"/>
    <w:rsid w:val="00AC78AD"/>
    <w:rsid w:val="00AC791B"/>
    <w:rsid w:val="00AC79D6"/>
    <w:rsid w:val="00AC7C52"/>
    <w:rsid w:val="00AC7D89"/>
    <w:rsid w:val="00AC7F72"/>
    <w:rsid w:val="00AD0069"/>
    <w:rsid w:val="00AD01EB"/>
    <w:rsid w:val="00AD06A1"/>
    <w:rsid w:val="00AD0700"/>
    <w:rsid w:val="00AD0A00"/>
    <w:rsid w:val="00AD0A2A"/>
    <w:rsid w:val="00AD0A65"/>
    <w:rsid w:val="00AD0A75"/>
    <w:rsid w:val="00AD0B8E"/>
    <w:rsid w:val="00AD13DE"/>
    <w:rsid w:val="00AD170B"/>
    <w:rsid w:val="00AD177F"/>
    <w:rsid w:val="00AD1B41"/>
    <w:rsid w:val="00AD267D"/>
    <w:rsid w:val="00AD2B9E"/>
    <w:rsid w:val="00AD2C26"/>
    <w:rsid w:val="00AD2E84"/>
    <w:rsid w:val="00AD34CB"/>
    <w:rsid w:val="00AD36AF"/>
    <w:rsid w:val="00AD3C65"/>
    <w:rsid w:val="00AD3D87"/>
    <w:rsid w:val="00AD44E6"/>
    <w:rsid w:val="00AD5204"/>
    <w:rsid w:val="00AD5681"/>
    <w:rsid w:val="00AD5A6D"/>
    <w:rsid w:val="00AD5F91"/>
    <w:rsid w:val="00AD685A"/>
    <w:rsid w:val="00AD6DAD"/>
    <w:rsid w:val="00AD6E7D"/>
    <w:rsid w:val="00AD71CE"/>
    <w:rsid w:val="00AD71E8"/>
    <w:rsid w:val="00AD7209"/>
    <w:rsid w:val="00AD733D"/>
    <w:rsid w:val="00AD789E"/>
    <w:rsid w:val="00AD7E9C"/>
    <w:rsid w:val="00AD7EB7"/>
    <w:rsid w:val="00AD7FA5"/>
    <w:rsid w:val="00AE0A78"/>
    <w:rsid w:val="00AE1616"/>
    <w:rsid w:val="00AE181F"/>
    <w:rsid w:val="00AE1929"/>
    <w:rsid w:val="00AE1B74"/>
    <w:rsid w:val="00AE1C00"/>
    <w:rsid w:val="00AE1E1C"/>
    <w:rsid w:val="00AE2046"/>
    <w:rsid w:val="00AE2363"/>
    <w:rsid w:val="00AE248D"/>
    <w:rsid w:val="00AE28C3"/>
    <w:rsid w:val="00AE2901"/>
    <w:rsid w:val="00AE2C5B"/>
    <w:rsid w:val="00AE2CBD"/>
    <w:rsid w:val="00AE2FBE"/>
    <w:rsid w:val="00AE3234"/>
    <w:rsid w:val="00AE351D"/>
    <w:rsid w:val="00AE37DC"/>
    <w:rsid w:val="00AE45AE"/>
    <w:rsid w:val="00AE45CE"/>
    <w:rsid w:val="00AE461A"/>
    <w:rsid w:val="00AE47C4"/>
    <w:rsid w:val="00AE4875"/>
    <w:rsid w:val="00AE49C9"/>
    <w:rsid w:val="00AE54C6"/>
    <w:rsid w:val="00AE57B0"/>
    <w:rsid w:val="00AE616A"/>
    <w:rsid w:val="00AE62DF"/>
    <w:rsid w:val="00AE668F"/>
    <w:rsid w:val="00AE6A7F"/>
    <w:rsid w:val="00AE6C26"/>
    <w:rsid w:val="00AE6FE0"/>
    <w:rsid w:val="00AE73A6"/>
    <w:rsid w:val="00AE7926"/>
    <w:rsid w:val="00AE7A95"/>
    <w:rsid w:val="00AE7C1E"/>
    <w:rsid w:val="00AE7DBD"/>
    <w:rsid w:val="00AE7E1E"/>
    <w:rsid w:val="00AE7ED7"/>
    <w:rsid w:val="00AF0019"/>
    <w:rsid w:val="00AF02B0"/>
    <w:rsid w:val="00AF098B"/>
    <w:rsid w:val="00AF09D9"/>
    <w:rsid w:val="00AF0AF0"/>
    <w:rsid w:val="00AF0D20"/>
    <w:rsid w:val="00AF0E5E"/>
    <w:rsid w:val="00AF27D4"/>
    <w:rsid w:val="00AF298B"/>
    <w:rsid w:val="00AF316B"/>
    <w:rsid w:val="00AF33A8"/>
    <w:rsid w:val="00AF33AC"/>
    <w:rsid w:val="00AF34FC"/>
    <w:rsid w:val="00AF464E"/>
    <w:rsid w:val="00AF479F"/>
    <w:rsid w:val="00AF48A0"/>
    <w:rsid w:val="00AF490F"/>
    <w:rsid w:val="00AF49F5"/>
    <w:rsid w:val="00AF4B7C"/>
    <w:rsid w:val="00AF5018"/>
    <w:rsid w:val="00AF50C2"/>
    <w:rsid w:val="00AF55E5"/>
    <w:rsid w:val="00AF56C2"/>
    <w:rsid w:val="00AF56C4"/>
    <w:rsid w:val="00AF6211"/>
    <w:rsid w:val="00AF6324"/>
    <w:rsid w:val="00AF6635"/>
    <w:rsid w:val="00AF6CBC"/>
    <w:rsid w:val="00AF6D8B"/>
    <w:rsid w:val="00AF6E1A"/>
    <w:rsid w:val="00AF6E2D"/>
    <w:rsid w:val="00AF6E4B"/>
    <w:rsid w:val="00AF6F49"/>
    <w:rsid w:val="00AF70B1"/>
    <w:rsid w:val="00AF7285"/>
    <w:rsid w:val="00AF77C9"/>
    <w:rsid w:val="00AF7B27"/>
    <w:rsid w:val="00B006E0"/>
    <w:rsid w:val="00B00A51"/>
    <w:rsid w:val="00B01582"/>
    <w:rsid w:val="00B02464"/>
    <w:rsid w:val="00B024E9"/>
    <w:rsid w:val="00B028DB"/>
    <w:rsid w:val="00B02ACB"/>
    <w:rsid w:val="00B02C68"/>
    <w:rsid w:val="00B02F9E"/>
    <w:rsid w:val="00B032C7"/>
    <w:rsid w:val="00B04303"/>
    <w:rsid w:val="00B044B4"/>
    <w:rsid w:val="00B05101"/>
    <w:rsid w:val="00B05402"/>
    <w:rsid w:val="00B056F6"/>
    <w:rsid w:val="00B05D46"/>
    <w:rsid w:val="00B05E0F"/>
    <w:rsid w:val="00B061F7"/>
    <w:rsid w:val="00B06581"/>
    <w:rsid w:val="00B065D0"/>
    <w:rsid w:val="00B0662A"/>
    <w:rsid w:val="00B069CA"/>
    <w:rsid w:val="00B0738D"/>
    <w:rsid w:val="00B0785D"/>
    <w:rsid w:val="00B07928"/>
    <w:rsid w:val="00B07968"/>
    <w:rsid w:val="00B07DE8"/>
    <w:rsid w:val="00B1009C"/>
    <w:rsid w:val="00B1060A"/>
    <w:rsid w:val="00B11197"/>
    <w:rsid w:val="00B113C4"/>
    <w:rsid w:val="00B119CE"/>
    <w:rsid w:val="00B11CA9"/>
    <w:rsid w:val="00B11F00"/>
    <w:rsid w:val="00B11F54"/>
    <w:rsid w:val="00B11FB4"/>
    <w:rsid w:val="00B12072"/>
    <w:rsid w:val="00B121ED"/>
    <w:rsid w:val="00B1222A"/>
    <w:rsid w:val="00B123BC"/>
    <w:rsid w:val="00B12839"/>
    <w:rsid w:val="00B12EB4"/>
    <w:rsid w:val="00B1356A"/>
    <w:rsid w:val="00B137A4"/>
    <w:rsid w:val="00B1427F"/>
    <w:rsid w:val="00B14A80"/>
    <w:rsid w:val="00B14EED"/>
    <w:rsid w:val="00B14FF2"/>
    <w:rsid w:val="00B1565C"/>
    <w:rsid w:val="00B167C4"/>
    <w:rsid w:val="00B1689D"/>
    <w:rsid w:val="00B17350"/>
    <w:rsid w:val="00B17655"/>
    <w:rsid w:val="00B17B75"/>
    <w:rsid w:val="00B2029E"/>
    <w:rsid w:val="00B20A9C"/>
    <w:rsid w:val="00B20BCA"/>
    <w:rsid w:val="00B20F9B"/>
    <w:rsid w:val="00B2111F"/>
    <w:rsid w:val="00B21272"/>
    <w:rsid w:val="00B217C8"/>
    <w:rsid w:val="00B21BF2"/>
    <w:rsid w:val="00B2237C"/>
    <w:rsid w:val="00B22489"/>
    <w:rsid w:val="00B225BF"/>
    <w:rsid w:val="00B22B6D"/>
    <w:rsid w:val="00B231CA"/>
    <w:rsid w:val="00B232BC"/>
    <w:rsid w:val="00B232C0"/>
    <w:rsid w:val="00B23C62"/>
    <w:rsid w:val="00B23C7A"/>
    <w:rsid w:val="00B24015"/>
    <w:rsid w:val="00B24072"/>
    <w:rsid w:val="00B243F9"/>
    <w:rsid w:val="00B24A10"/>
    <w:rsid w:val="00B24EFF"/>
    <w:rsid w:val="00B24F6B"/>
    <w:rsid w:val="00B24FAF"/>
    <w:rsid w:val="00B251C9"/>
    <w:rsid w:val="00B25520"/>
    <w:rsid w:val="00B26173"/>
    <w:rsid w:val="00B26391"/>
    <w:rsid w:val="00B267E8"/>
    <w:rsid w:val="00B26F43"/>
    <w:rsid w:val="00B3004E"/>
    <w:rsid w:val="00B3118B"/>
    <w:rsid w:val="00B31569"/>
    <w:rsid w:val="00B315FE"/>
    <w:rsid w:val="00B3186E"/>
    <w:rsid w:val="00B318E0"/>
    <w:rsid w:val="00B31A5F"/>
    <w:rsid w:val="00B31CFC"/>
    <w:rsid w:val="00B32854"/>
    <w:rsid w:val="00B32E01"/>
    <w:rsid w:val="00B33315"/>
    <w:rsid w:val="00B33683"/>
    <w:rsid w:val="00B33DF0"/>
    <w:rsid w:val="00B33E27"/>
    <w:rsid w:val="00B34112"/>
    <w:rsid w:val="00B3414D"/>
    <w:rsid w:val="00B3419F"/>
    <w:rsid w:val="00B341CA"/>
    <w:rsid w:val="00B34262"/>
    <w:rsid w:val="00B34B10"/>
    <w:rsid w:val="00B35197"/>
    <w:rsid w:val="00B35CF1"/>
    <w:rsid w:val="00B360C5"/>
    <w:rsid w:val="00B36166"/>
    <w:rsid w:val="00B3676E"/>
    <w:rsid w:val="00B369F8"/>
    <w:rsid w:val="00B37168"/>
    <w:rsid w:val="00B377A0"/>
    <w:rsid w:val="00B37852"/>
    <w:rsid w:val="00B37C29"/>
    <w:rsid w:val="00B37E23"/>
    <w:rsid w:val="00B37E42"/>
    <w:rsid w:val="00B40953"/>
    <w:rsid w:val="00B40D47"/>
    <w:rsid w:val="00B411A4"/>
    <w:rsid w:val="00B41340"/>
    <w:rsid w:val="00B4149F"/>
    <w:rsid w:val="00B414A2"/>
    <w:rsid w:val="00B4153C"/>
    <w:rsid w:val="00B41BC4"/>
    <w:rsid w:val="00B41D12"/>
    <w:rsid w:val="00B4207A"/>
    <w:rsid w:val="00B420C6"/>
    <w:rsid w:val="00B42CA9"/>
    <w:rsid w:val="00B4328A"/>
    <w:rsid w:val="00B432F3"/>
    <w:rsid w:val="00B433CB"/>
    <w:rsid w:val="00B43520"/>
    <w:rsid w:val="00B437BF"/>
    <w:rsid w:val="00B43985"/>
    <w:rsid w:val="00B43A48"/>
    <w:rsid w:val="00B43A65"/>
    <w:rsid w:val="00B44D4F"/>
    <w:rsid w:val="00B44EBF"/>
    <w:rsid w:val="00B45051"/>
    <w:rsid w:val="00B455A1"/>
    <w:rsid w:val="00B45990"/>
    <w:rsid w:val="00B46900"/>
    <w:rsid w:val="00B469D1"/>
    <w:rsid w:val="00B46C2A"/>
    <w:rsid w:val="00B46DFA"/>
    <w:rsid w:val="00B46E2A"/>
    <w:rsid w:val="00B473D0"/>
    <w:rsid w:val="00B47421"/>
    <w:rsid w:val="00B47835"/>
    <w:rsid w:val="00B478EE"/>
    <w:rsid w:val="00B47AFE"/>
    <w:rsid w:val="00B47F12"/>
    <w:rsid w:val="00B500B8"/>
    <w:rsid w:val="00B50240"/>
    <w:rsid w:val="00B50A45"/>
    <w:rsid w:val="00B51088"/>
    <w:rsid w:val="00B5137A"/>
    <w:rsid w:val="00B515B7"/>
    <w:rsid w:val="00B5161C"/>
    <w:rsid w:val="00B51AA6"/>
    <w:rsid w:val="00B51AC5"/>
    <w:rsid w:val="00B51F1B"/>
    <w:rsid w:val="00B52056"/>
    <w:rsid w:val="00B52115"/>
    <w:rsid w:val="00B52524"/>
    <w:rsid w:val="00B52802"/>
    <w:rsid w:val="00B5284B"/>
    <w:rsid w:val="00B528F8"/>
    <w:rsid w:val="00B52DDC"/>
    <w:rsid w:val="00B52E94"/>
    <w:rsid w:val="00B530EC"/>
    <w:rsid w:val="00B5322F"/>
    <w:rsid w:val="00B53919"/>
    <w:rsid w:val="00B53ACA"/>
    <w:rsid w:val="00B53D15"/>
    <w:rsid w:val="00B53E8D"/>
    <w:rsid w:val="00B54678"/>
    <w:rsid w:val="00B54AFB"/>
    <w:rsid w:val="00B54CBD"/>
    <w:rsid w:val="00B54E3C"/>
    <w:rsid w:val="00B54E4B"/>
    <w:rsid w:val="00B552CE"/>
    <w:rsid w:val="00B55407"/>
    <w:rsid w:val="00B55A02"/>
    <w:rsid w:val="00B562A7"/>
    <w:rsid w:val="00B5644B"/>
    <w:rsid w:val="00B5686F"/>
    <w:rsid w:val="00B56953"/>
    <w:rsid w:val="00B57E33"/>
    <w:rsid w:val="00B601FB"/>
    <w:rsid w:val="00B60229"/>
    <w:rsid w:val="00B60D4C"/>
    <w:rsid w:val="00B615B6"/>
    <w:rsid w:val="00B61D4E"/>
    <w:rsid w:val="00B6268D"/>
    <w:rsid w:val="00B62C30"/>
    <w:rsid w:val="00B62F45"/>
    <w:rsid w:val="00B630EC"/>
    <w:rsid w:val="00B63584"/>
    <w:rsid w:val="00B6396C"/>
    <w:rsid w:val="00B63AE9"/>
    <w:rsid w:val="00B63DFA"/>
    <w:rsid w:val="00B6441F"/>
    <w:rsid w:val="00B64714"/>
    <w:rsid w:val="00B64A17"/>
    <w:rsid w:val="00B64CD5"/>
    <w:rsid w:val="00B64F2B"/>
    <w:rsid w:val="00B64F6A"/>
    <w:rsid w:val="00B652B6"/>
    <w:rsid w:val="00B6589C"/>
    <w:rsid w:val="00B6598E"/>
    <w:rsid w:val="00B65F8D"/>
    <w:rsid w:val="00B6618A"/>
    <w:rsid w:val="00B663E4"/>
    <w:rsid w:val="00B6644F"/>
    <w:rsid w:val="00B666C8"/>
    <w:rsid w:val="00B66CB0"/>
    <w:rsid w:val="00B66F74"/>
    <w:rsid w:val="00B670FF"/>
    <w:rsid w:val="00B6717D"/>
    <w:rsid w:val="00B6759C"/>
    <w:rsid w:val="00B677CF"/>
    <w:rsid w:val="00B6E100"/>
    <w:rsid w:val="00B70B6F"/>
    <w:rsid w:val="00B70BB2"/>
    <w:rsid w:val="00B70D71"/>
    <w:rsid w:val="00B70EE6"/>
    <w:rsid w:val="00B710DF"/>
    <w:rsid w:val="00B712A2"/>
    <w:rsid w:val="00B71346"/>
    <w:rsid w:val="00B7160F"/>
    <w:rsid w:val="00B71DF3"/>
    <w:rsid w:val="00B71F35"/>
    <w:rsid w:val="00B72B41"/>
    <w:rsid w:val="00B72BC4"/>
    <w:rsid w:val="00B72C87"/>
    <w:rsid w:val="00B72F4F"/>
    <w:rsid w:val="00B733C5"/>
    <w:rsid w:val="00B7360E"/>
    <w:rsid w:val="00B73AE8"/>
    <w:rsid w:val="00B742F4"/>
    <w:rsid w:val="00B7433B"/>
    <w:rsid w:val="00B74C67"/>
    <w:rsid w:val="00B750F1"/>
    <w:rsid w:val="00B753C3"/>
    <w:rsid w:val="00B761D4"/>
    <w:rsid w:val="00B76321"/>
    <w:rsid w:val="00B76A11"/>
    <w:rsid w:val="00B77427"/>
    <w:rsid w:val="00B77B6C"/>
    <w:rsid w:val="00B77CC2"/>
    <w:rsid w:val="00B77CEE"/>
    <w:rsid w:val="00B77D32"/>
    <w:rsid w:val="00B77D36"/>
    <w:rsid w:val="00B8021E"/>
    <w:rsid w:val="00B807FF"/>
    <w:rsid w:val="00B80C6B"/>
    <w:rsid w:val="00B80DB7"/>
    <w:rsid w:val="00B80DFC"/>
    <w:rsid w:val="00B810DD"/>
    <w:rsid w:val="00B8177A"/>
    <w:rsid w:val="00B818B3"/>
    <w:rsid w:val="00B81974"/>
    <w:rsid w:val="00B81DBD"/>
    <w:rsid w:val="00B8221B"/>
    <w:rsid w:val="00B82400"/>
    <w:rsid w:val="00B8251D"/>
    <w:rsid w:val="00B8272B"/>
    <w:rsid w:val="00B82761"/>
    <w:rsid w:val="00B82A03"/>
    <w:rsid w:val="00B82A2B"/>
    <w:rsid w:val="00B82E7B"/>
    <w:rsid w:val="00B83795"/>
    <w:rsid w:val="00B837EB"/>
    <w:rsid w:val="00B83818"/>
    <w:rsid w:val="00B83966"/>
    <w:rsid w:val="00B83AED"/>
    <w:rsid w:val="00B83C71"/>
    <w:rsid w:val="00B83C9A"/>
    <w:rsid w:val="00B83FFF"/>
    <w:rsid w:val="00B84291"/>
    <w:rsid w:val="00B84675"/>
    <w:rsid w:val="00B84804"/>
    <w:rsid w:val="00B849AA"/>
    <w:rsid w:val="00B84A71"/>
    <w:rsid w:val="00B852E3"/>
    <w:rsid w:val="00B8539F"/>
    <w:rsid w:val="00B85855"/>
    <w:rsid w:val="00B86093"/>
    <w:rsid w:val="00B860EE"/>
    <w:rsid w:val="00B8612E"/>
    <w:rsid w:val="00B86614"/>
    <w:rsid w:val="00B86722"/>
    <w:rsid w:val="00B8687D"/>
    <w:rsid w:val="00B86C26"/>
    <w:rsid w:val="00B86E50"/>
    <w:rsid w:val="00B8721E"/>
    <w:rsid w:val="00B8754E"/>
    <w:rsid w:val="00B876D5"/>
    <w:rsid w:val="00B8773F"/>
    <w:rsid w:val="00B87AD9"/>
    <w:rsid w:val="00B87EEA"/>
    <w:rsid w:val="00B9004C"/>
    <w:rsid w:val="00B90772"/>
    <w:rsid w:val="00B911DA"/>
    <w:rsid w:val="00B91332"/>
    <w:rsid w:val="00B9195F"/>
    <w:rsid w:val="00B92CE1"/>
    <w:rsid w:val="00B93589"/>
    <w:rsid w:val="00B937B7"/>
    <w:rsid w:val="00B93805"/>
    <w:rsid w:val="00B93D5A"/>
    <w:rsid w:val="00B940C1"/>
    <w:rsid w:val="00B94139"/>
    <w:rsid w:val="00B94296"/>
    <w:rsid w:val="00B944C3"/>
    <w:rsid w:val="00B95218"/>
    <w:rsid w:val="00B95EB9"/>
    <w:rsid w:val="00B96744"/>
    <w:rsid w:val="00B968DF"/>
    <w:rsid w:val="00B96931"/>
    <w:rsid w:val="00B96B31"/>
    <w:rsid w:val="00B96C3A"/>
    <w:rsid w:val="00B96DF7"/>
    <w:rsid w:val="00B96E54"/>
    <w:rsid w:val="00B96EF5"/>
    <w:rsid w:val="00B97499"/>
    <w:rsid w:val="00B97FCA"/>
    <w:rsid w:val="00BA06CA"/>
    <w:rsid w:val="00BA0967"/>
    <w:rsid w:val="00BA097D"/>
    <w:rsid w:val="00BA12D6"/>
    <w:rsid w:val="00BA12E3"/>
    <w:rsid w:val="00BA1579"/>
    <w:rsid w:val="00BA16C9"/>
    <w:rsid w:val="00BA1817"/>
    <w:rsid w:val="00BA18A6"/>
    <w:rsid w:val="00BA18CF"/>
    <w:rsid w:val="00BA190C"/>
    <w:rsid w:val="00BA1DBB"/>
    <w:rsid w:val="00BA2A53"/>
    <w:rsid w:val="00BA2FB3"/>
    <w:rsid w:val="00BA3AB1"/>
    <w:rsid w:val="00BA3B16"/>
    <w:rsid w:val="00BA40FB"/>
    <w:rsid w:val="00BA477A"/>
    <w:rsid w:val="00BA4EA0"/>
    <w:rsid w:val="00BA5028"/>
    <w:rsid w:val="00BA5640"/>
    <w:rsid w:val="00BA5705"/>
    <w:rsid w:val="00BA5C02"/>
    <w:rsid w:val="00BA5DC1"/>
    <w:rsid w:val="00BA60C9"/>
    <w:rsid w:val="00BA660C"/>
    <w:rsid w:val="00BA6624"/>
    <w:rsid w:val="00BA6C4F"/>
    <w:rsid w:val="00BA70D4"/>
    <w:rsid w:val="00BA7D3C"/>
    <w:rsid w:val="00BA7E99"/>
    <w:rsid w:val="00BB0577"/>
    <w:rsid w:val="00BB0FBA"/>
    <w:rsid w:val="00BB0FEB"/>
    <w:rsid w:val="00BB0FFB"/>
    <w:rsid w:val="00BB10E3"/>
    <w:rsid w:val="00BB1698"/>
    <w:rsid w:val="00BB178D"/>
    <w:rsid w:val="00BB19D2"/>
    <w:rsid w:val="00BB213C"/>
    <w:rsid w:val="00BB2351"/>
    <w:rsid w:val="00BB254A"/>
    <w:rsid w:val="00BB25E5"/>
    <w:rsid w:val="00BB2646"/>
    <w:rsid w:val="00BB2A76"/>
    <w:rsid w:val="00BB2D2E"/>
    <w:rsid w:val="00BB3207"/>
    <w:rsid w:val="00BB3445"/>
    <w:rsid w:val="00BB3626"/>
    <w:rsid w:val="00BB37FD"/>
    <w:rsid w:val="00BB43A1"/>
    <w:rsid w:val="00BB4421"/>
    <w:rsid w:val="00BB44D7"/>
    <w:rsid w:val="00BB4A33"/>
    <w:rsid w:val="00BB4F79"/>
    <w:rsid w:val="00BB554A"/>
    <w:rsid w:val="00BB5BAB"/>
    <w:rsid w:val="00BB5E87"/>
    <w:rsid w:val="00BB67E3"/>
    <w:rsid w:val="00BB69C0"/>
    <w:rsid w:val="00BB69C9"/>
    <w:rsid w:val="00BB6D5E"/>
    <w:rsid w:val="00BB6EF7"/>
    <w:rsid w:val="00BB6F0D"/>
    <w:rsid w:val="00BB72AF"/>
    <w:rsid w:val="00BB7805"/>
    <w:rsid w:val="00BB7E8B"/>
    <w:rsid w:val="00BB7FDF"/>
    <w:rsid w:val="00BC03EC"/>
    <w:rsid w:val="00BC0AC1"/>
    <w:rsid w:val="00BC0EC6"/>
    <w:rsid w:val="00BC1053"/>
    <w:rsid w:val="00BC1082"/>
    <w:rsid w:val="00BC170D"/>
    <w:rsid w:val="00BC17D6"/>
    <w:rsid w:val="00BC1C7B"/>
    <w:rsid w:val="00BC213B"/>
    <w:rsid w:val="00BC21CF"/>
    <w:rsid w:val="00BC22C8"/>
    <w:rsid w:val="00BC2504"/>
    <w:rsid w:val="00BC2A5B"/>
    <w:rsid w:val="00BC2C48"/>
    <w:rsid w:val="00BC2D43"/>
    <w:rsid w:val="00BC315D"/>
    <w:rsid w:val="00BC33A1"/>
    <w:rsid w:val="00BC3569"/>
    <w:rsid w:val="00BC3D7F"/>
    <w:rsid w:val="00BC3E4C"/>
    <w:rsid w:val="00BC3EAB"/>
    <w:rsid w:val="00BC40F3"/>
    <w:rsid w:val="00BC410A"/>
    <w:rsid w:val="00BC4E16"/>
    <w:rsid w:val="00BC518E"/>
    <w:rsid w:val="00BC53B5"/>
    <w:rsid w:val="00BC58E7"/>
    <w:rsid w:val="00BC5C47"/>
    <w:rsid w:val="00BC6186"/>
    <w:rsid w:val="00BC6396"/>
    <w:rsid w:val="00BC6A66"/>
    <w:rsid w:val="00BC7625"/>
    <w:rsid w:val="00BC7DD4"/>
    <w:rsid w:val="00BD0254"/>
    <w:rsid w:val="00BD0627"/>
    <w:rsid w:val="00BD0ABD"/>
    <w:rsid w:val="00BD1416"/>
    <w:rsid w:val="00BD15A4"/>
    <w:rsid w:val="00BD1959"/>
    <w:rsid w:val="00BD1C0C"/>
    <w:rsid w:val="00BD2058"/>
    <w:rsid w:val="00BD22C9"/>
    <w:rsid w:val="00BD23D3"/>
    <w:rsid w:val="00BD2472"/>
    <w:rsid w:val="00BD2BEC"/>
    <w:rsid w:val="00BD32C6"/>
    <w:rsid w:val="00BD3488"/>
    <w:rsid w:val="00BD374C"/>
    <w:rsid w:val="00BD407C"/>
    <w:rsid w:val="00BD4090"/>
    <w:rsid w:val="00BD417B"/>
    <w:rsid w:val="00BD4273"/>
    <w:rsid w:val="00BD4FE3"/>
    <w:rsid w:val="00BD579F"/>
    <w:rsid w:val="00BD5B0F"/>
    <w:rsid w:val="00BD643B"/>
    <w:rsid w:val="00BD661B"/>
    <w:rsid w:val="00BD665A"/>
    <w:rsid w:val="00BD6A56"/>
    <w:rsid w:val="00BD6C30"/>
    <w:rsid w:val="00BD6D90"/>
    <w:rsid w:val="00BD6E6C"/>
    <w:rsid w:val="00BD6F50"/>
    <w:rsid w:val="00BD76E7"/>
    <w:rsid w:val="00BD7857"/>
    <w:rsid w:val="00BD7A7E"/>
    <w:rsid w:val="00BD7B1F"/>
    <w:rsid w:val="00BD7B9D"/>
    <w:rsid w:val="00BD7CCA"/>
    <w:rsid w:val="00BD7DF3"/>
    <w:rsid w:val="00BE00ED"/>
    <w:rsid w:val="00BE0F69"/>
    <w:rsid w:val="00BE146D"/>
    <w:rsid w:val="00BE19DE"/>
    <w:rsid w:val="00BE1B4D"/>
    <w:rsid w:val="00BE1BDE"/>
    <w:rsid w:val="00BE25A5"/>
    <w:rsid w:val="00BE270E"/>
    <w:rsid w:val="00BE2ADF"/>
    <w:rsid w:val="00BE2AF5"/>
    <w:rsid w:val="00BE2AFB"/>
    <w:rsid w:val="00BE32FF"/>
    <w:rsid w:val="00BE34F1"/>
    <w:rsid w:val="00BE387C"/>
    <w:rsid w:val="00BE3A47"/>
    <w:rsid w:val="00BE3AB8"/>
    <w:rsid w:val="00BE3D6B"/>
    <w:rsid w:val="00BE4341"/>
    <w:rsid w:val="00BE444E"/>
    <w:rsid w:val="00BE497E"/>
    <w:rsid w:val="00BE514E"/>
    <w:rsid w:val="00BE54C5"/>
    <w:rsid w:val="00BE6202"/>
    <w:rsid w:val="00BE631F"/>
    <w:rsid w:val="00BE6334"/>
    <w:rsid w:val="00BE6ACD"/>
    <w:rsid w:val="00BE6B08"/>
    <w:rsid w:val="00BE6B2F"/>
    <w:rsid w:val="00BE6E91"/>
    <w:rsid w:val="00BE738A"/>
    <w:rsid w:val="00BE7509"/>
    <w:rsid w:val="00BE7699"/>
    <w:rsid w:val="00BF0263"/>
    <w:rsid w:val="00BF057E"/>
    <w:rsid w:val="00BF05B3"/>
    <w:rsid w:val="00BF0870"/>
    <w:rsid w:val="00BF099D"/>
    <w:rsid w:val="00BF0ABA"/>
    <w:rsid w:val="00BF0B87"/>
    <w:rsid w:val="00BF162C"/>
    <w:rsid w:val="00BF1988"/>
    <w:rsid w:val="00BF208B"/>
    <w:rsid w:val="00BF29C8"/>
    <w:rsid w:val="00BF2D3F"/>
    <w:rsid w:val="00BF3677"/>
    <w:rsid w:val="00BF39CD"/>
    <w:rsid w:val="00BF39FE"/>
    <w:rsid w:val="00BF3AE2"/>
    <w:rsid w:val="00BF3D35"/>
    <w:rsid w:val="00BF3E0E"/>
    <w:rsid w:val="00BF3F4B"/>
    <w:rsid w:val="00BF4090"/>
    <w:rsid w:val="00BF428A"/>
    <w:rsid w:val="00BF454C"/>
    <w:rsid w:val="00BF4A25"/>
    <w:rsid w:val="00BF4E7B"/>
    <w:rsid w:val="00BF571B"/>
    <w:rsid w:val="00BF57A6"/>
    <w:rsid w:val="00BF5AA5"/>
    <w:rsid w:val="00BF603C"/>
    <w:rsid w:val="00BF64EC"/>
    <w:rsid w:val="00BF6AA0"/>
    <w:rsid w:val="00BF7E25"/>
    <w:rsid w:val="00C002B6"/>
    <w:rsid w:val="00C00740"/>
    <w:rsid w:val="00C0081D"/>
    <w:rsid w:val="00C008BC"/>
    <w:rsid w:val="00C00E24"/>
    <w:rsid w:val="00C00F1F"/>
    <w:rsid w:val="00C01586"/>
    <w:rsid w:val="00C01698"/>
    <w:rsid w:val="00C01874"/>
    <w:rsid w:val="00C01D62"/>
    <w:rsid w:val="00C02638"/>
    <w:rsid w:val="00C02AF2"/>
    <w:rsid w:val="00C02FDB"/>
    <w:rsid w:val="00C036AA"/>
    <w:rsid w:val="00C039F2"/>
    <w:rsid w:val="00C03D41"/>
    <w:rsid w:val="00C03FE9"/>
    <w:rsid w:val="00C04260"/>
    <w:rsid w:val="00C045B3"/>
    <w:rsid w:val="00C04976"/>
    <w:rsid w:val="00C04A22"/>
    <w:rsid w:val="00C056C8"/>
    <w:rsid w:val="00C057C5"/>
    <w:rsid w:val="00C05E23"/>
    <w:rsid w:val="00C05FBF"/>
    <w:rsid w:val="00C06531"/>
    <w:rsid w:val="00C065BA"/>
    <w:rsid w:val="00C06B1B"/>
    <w:rsid w:val="00C06E73"/>
    <w:rsid w:val="00C06F98"/>
    <w:rsid w:val="00C07024"/>
    <w:rsid w:val="00C07491"/>
    <w:rsid w:val="00C079E9"/>
    <w:rsid w:val="00C10034"/>
    <w:rsid w:val="00C10826"/>
    <w:rsid w:val="00C10830"/>
    <w:rsid w:val="00C10A1B"/>
    <w:rsid w:val="00C10A9E"/>
    <w:rsid w:val="00C10CD4"/>
    <w:rsid w:val="00C10D2B"/>
    <w:rsid w:val="00C10D97"/>
    <w:rsid w:val="00C10FEA"/>
    <w:rsid w:val="00C1174F"/>
    <w:rsid w:val="00C11D04"/>
    <w:rsid w:val="00C11F50"/>
    <w:rsid w:val="00C11FB5"/>
    <w:rsid w:val="00C11FFA"/>
    <w:rsid w:val="00C13098"/>
    <w:rsid w:val="00C13198"/>
    <w:rsid w:val="00C13301"/>
    <w:rsid w:val="00C1349A"/>
    <w:rsid w:val="00C139DE"/>
    <w:rsid w:val="00C13AC4"/>
    <w:rsid w:val="00C13C21"/>
    <w:rsid w:val="00C13D08"/>
    <w:rsid w:val="00C140E7"/>
    <w:rsid w:val="00C141B8"/>
    <w:rsid w:val="00C14318"/>
    <w:rsid w:val="00C14635"/>
    <w:rsid w:val="00C14780"/>
    <w:rsid w:val="00C14E2F"/>
    <w:rsid w:val="00C15732"/>
    <w:rsid w:val="00C15938"/>
    <w:rsid w:val="00C1593D"/>
    <w:rsid w:val="00C15ADA"/>
    <w:rsid w:val="00C15EDC"/>
    <w:rsid w:val="00C16303"/>
    <w:rsid w:val="00C16D1B"/>
    <w:rsid w:val="00C1714D"/>
    <w:rsid w:val="00C171E1"/>
    <w:rsid w:val="00C1752A"/>
    <w:rsid w:val="00C17EEE"/>
    <w:rsid w:val="00C17F4A"/>
    <w:rsid w:val="00C20205"/>
    <w:rsid w:val="00C208BD"/>
    <w:rsid w:val="00C20CC4"/>
    <w:rsid w:val="00C2111F"/>
    <w:rsid w:val="00C218DA"/>
    <w:rsid w:val="00C21B34"/>
    <w:rsid w:val="00C21BBE"/>
    <w:rsid w:val="00C21E24"/>
    <w:rsid w:val="00C22024"/>
    <w:rsid w:val="00C220C2"/>
    <w:rsid w:val="00C222E6"/>
    <w:rsid w:val="00C224DC"/>
    <w:rsid w:val="00C225B1"/>
    <w:rsid w:val="00C232AA"/>
    <w:rsid w:val="00C2393C"/>
    <w:rsid w:val="00C23C00"/>
    <w:rsid w:val="00C23C90"/>
    <w:rsid w:val="00C23CFF"/>
    <w:rsid w:val="00C24027"/>
    <w:rsid w:val="00C240FE"/>
    <w:rsid w:val="00C241C6"/>
    <w:rsid w:val="00C2447B"/>
    <w:rsid w:val="00C24533"/>
    <w:rsid w:val="00C24647"/>
    <w:rsid w:val="00C2465B"/>
    <w:rsid w:val="00C24FA2"/>
    <w:rsid w:val="00C25C29"/>
    <w:rsid w:val="00C2630A"/>
    <w:rsid w:val="00C2668C"/>
    <w:rsid w:val="00C26843"/>
    <w:rsid w:val="00C26B5C"/>
    <w:rsid w:val="00C26FFF"/>
    <w:rsid w:val="00C27263"/>
    <w:rsid w:val="00C2750B"/>
    <w:rsid w:val="00C277F7"/>
    <w:rsid w:val="00C27B53"/>
    <w:rsid w:val="00C27B99"/>
    <w:rsid w:val="00C27E3F"/>
    <w:rsid w:val="00C309A6"/>
    <w:rsid w:val="00C30B80"/>
    <w:rsid w:val="00C31362"/>
    <w:rsid w:val="00C3144B"/>
    <w:rsid w:val="00C31DBC"/>
    <w:rsid w:val="00C3200C"/>
    <w:rsid w:val="00C326BC"/>
    <w:rsid w:val="00C327EC"/>
    <w:rsid w:val="00C332FF"/>
    <w:rsid w:val="00C33653"/>
    <w:rsid w:val="00C34D25"/>
    <w:rsid w:val="00C35424"/>
    <w:rsid w:val="00C35544"/>
    <w:rsid w:val="00C3582E"/>
    <w:rsid w:val="00C358F4"/>
    <w:rsid w:val="00C35E84"/>
    <w:rsid w:val="00C36076"/>
    <w:rsid w:val="00C3678B"/>
    <w:rsid w:val="00C36C8B"/>
    <w:rsid w:val="00C36D70"/>
    <w:rsid w:val="00C36FAD"/>
    <w:rsid w:val="00C37068"/>
    <w:rsid w:val="00C40CC4"/>
    <w:rsid w:val="00C413EB"/>
    <w:rsid w:val="00C415C2"/>
    <w:rsid w:val="00C41A30"/>
    <w:rsid w:val="00C41CCD"/>
    <w:rsid w:val="00C422C9"/>
    <w:rsid w:val="00C428BE"/>
    <w:rsid w:val="00C431D1"/>
    <w:rsid w:val="00C4357A"/>
    <w:rsid w:val="00C438EF"/>
    <w:rsid w:val="00C43D11"/>
    <w:rsid w:val="00C43F4F"/>
    <w:rsid w:val="00C44215"/>
    <w:rsid w:val="00C44544"/>
    <w:rsid w:val="00C446FD"/>
    <w:rsid w:val="00C44AD8"/>
    <w:rsid w:val="00C44C35"/>
    <w:rsid w:val="00C44E3F"/>
    <w:rsid w:val="00C453BE"/>
    <w:rsid w:val="00C4595B"/>
    <w:rsid w:val="00C459DE"/>
    <w:rsid w:val="00C45F31"/>
    <w:rsid w:val="00C46584"/>
    <w:rsid w:val="00C46A82"/>
    <w:rsid w:val="00C46CF8"/>
    <w:rsid w:val="00C46E45"/>
    <w:rsid w:val="00C4754F"/>
    <w:rsid w:val="00C475DC"/>
    <w:rsid w:val="00C476F2"/>
    <w:rsid w:val="00C47B82"/>
    <w:rsid w:val="00C47F07"/>
    <w:rsid w:val="00C50033"/>
    <w:rsid w:val="00C50417"/>
    <w:rsid w:val="00C50927"/>
    <w:rsid w:val="00C51011"/>
    <w:rsid w:val="00C522D4"/>
    <w:rsid w:val="00C528D7"/>
    <w:rsid w:val="00C52A5E"/>
    <w:rsid w:val="00C52B41"/>
    <w:rsid w:val="00C53332"/>
    <w:rsid w:val="00C534BA"/>
    <w:rsid w:val="00C53887"/>
    <w:rsid w:val="00C542B9"/>
    <w:rsid w:val="00C54335"/>
    <w:rsid w:val="00C54349"/>
    <w:rsid w:val="00C5489F"/>
    <w:rsid w:val="00C5494E"/>
    <w:rsid w:val="00C5505D"/>
    <w:rsid w:val="00C5525D"/>
    <w:rsid w:val="00C55497"/>
    <w:rsid w:val="00C5568D"/>
    <w:rsid w:val="00C55840"/>
    <w:rsid w:val="00C55A03"/>
    <w:rsid w:val="00C55AE9"/>
    <w:rsid w:val="00C55B19"/>
    <w:rsid w:val="00C56427"/>
    <w:rsid w:val="00C566DF"/>
    <w:rsid w:val="00C56730"/>
    <w:rsid w:val="00C56809"/>
    <w:rsid w:val="00C5693B"/>
    <w:rsid w:val="00C571F1"/>
    <w:rsid w:val="00C57493"/>
    <w:rsid w:val="00C57754"/>
    <w:rsid w:val="00C578C3"/>
    <w:rsid w:val="00C57B60"/>
    <w:rsid w:val="00C57D43"/>
    <w:rsid w:val="00C57D81"/>
    <w:rsid w:val="00C57FA8"/>
    <w:rsid w:val="00C60AC1"/>
    <w:rsid w:val="00C60D4E"/>
    <w:rsid w:val="00C61179"/>
    <w:rsid w:val="00C611A5"/>
    <w:rsid w:val="00C6179B"/>
    <w:rsid w:val="00C618E1"/>
    <w:rsid w:val="00C61AE3"/>
    <w:rsid w:val="00C61CD8"/>
    <w:rsid w:val="00C62342"/>
    <w:rsid w:val="00C62613"/>
    <w:rsid w:val="00C62D1D"/>
    <w:rsid w:val="00C62D59"/>
    <w:rsid w:val="00C63325"/>
    <w:rsid w:val="00C633C4"/>
    <w:rsid w:val="00C6366C"/>
    <w:rsid w:val="00C63739"/>
    <w:rsid w:val="00C64764"/>
    <w:rsid w:val="00C647C0"/>
    <w:rsid w:val="00C64DE2"/>
    <w:rsid w:val="00C64EFC"/>
    <w:rsid w:val="00C651F3"/>
    <w:rsid w:val="00C65284"/>
    <w:rsid w:val="00C6573C"/>
    <w:rsid w:val="00C65795"/>
    <w:rsid w:val="00C6591B"/>
    <w:rsid w:val="00C65E3F"/>
    <w:rsid w:val="00C66593"/>
    <w:rsid w:val="00C66EC5"/>
    <w:rsid w:val="00C670E8"/>
    <w:rsid w:val="00C678B7"/>
    <w:rsid w:val="00C6799A"/>
    <w:rsid w:val="00C67E38"/>
    <w:rsid w:val="00C7024D"/>
    <w:rsid w:val="00C70360"/>
    <w:rsid w:val="00C707FD"/>
    <w:rsid w:val="00C708B5"/>
    <w:rsid w:val="00C70958"/>
    <w:rsid w:val="00C70E91"/>
    <w:rsid w:val="00C70EEC"/>
    <w:rsid w:val="00C711EA"/>
    <w:rsid w:val="00C723A9"/>
    <w:rsid w:val="00C72434"/>
    <w:rsid w:val="00C726A0"/>
    <w:rsid w:val="00C72A80"/>
    <w:rsid w:val="00C72ABA"/>
    <w:rsid w:val="00C72F51"/>
    <w:rsid w:val="00C734E9"/>
    <w:rsid w:val="00C73604"/>
    <w:rsid w:val="00C737FE"/>
    <w:rsid w:val="00C73A17"/>
    <w:rsid w:val="00C73B5B"/>
    <w:rsid w:val="00C73D75"/>
    <w:rsid w:val="00C740B0"/>
    <w:rsid w:val="00C7425D"/>
    <w:rsid w:val="00C747D3"/>
    <w:rsid w:val="00C749C3"/>
    <w:rsid w:val="00C74A1A"/>
    <w:rsid w:val="00C74B31"/>
    <w:rsid w:val="00C7511F"/>
    <w:rsid w:val="00C751EF"/>
    <w:rsid w:val="00C7536C"/>
    <w:rsid w:val="00C756F9"/>
    <w:rsid w:val="00C75BC2"/>
    <w:rsid w:val="00C760F1"/>
    <w:rsid w:val="00C766D5"/>
    <w:rsid w:val="00C76B16"/>
    <w:rsid w:val="00C774C8"/>
    <w:rsid w:val="00C77B7C"/>
    <w:rsid w:val="00C80E22"/>
    <w:rsid w:val="00C81178"/>
    <w:rsid w:val="00C813FF"/>
    <w:rsid w:val="00C8169C"/>
    <w:rsid w:val="00C81966"/>
    <w:rsid w:val="00C81E1E"/>
    <w:rsid w:val="00C82C88"/>
    <w:rsid w:val="00C83040"/>
    <w:rsid w:val="00C8311B"/>
    <w:rsid w:val="00C834D5"/>
    <w:rsid w:val="00C84128"/>
    <w:rsid w:val="00C846F3"/>
    <w:rsid w:val="00C84825"/>
    <w:rsid w:val="00C848B4"/>
    <w:rsid w:val="00C848BE"/>
    <w:rsid w:val="00C84AB3"/>
    <w:rsid w:val="00C84CE9"/>
    <w:rsid w:val="00C84E1A"/>
    <w:rsid w:val="00C84EDB"/>
    <w:rsid w:val="00C850EA"/>
    <w:rsid w:val="00C85190"/>
    <w:rsid w:val="00C85F48"/>
    <w:rsid w:val="00C86B2E"/>
    <w:rsid w:val="00C86BE3"/>
    <w:rsid w:val="00C8707C"/>
    <w:rsid w:val="00C8738F"/>
    <w:rsid w:val="00C87392"/>
    <w:rsid w:val="00C879DE"/>
    <w:rsid w:val="00C87A92"/>
    <w:rsid w:val="00C87C1D"/>
    <w:rsid w:val="00C87D00"/>
    <w:rsid w:val="00C87DA7"/>
    <w:rsid w:val="00C90403"/>
    <w:rsid w:val="00C91AAA"/>
    <w:rsid w:val="00C92561"/>
    <w:rsid w:val="00C9274E"/>
    <w:rsid w:val="00C929AF"/>
    <w:rsid w:val="00C9310F"/>
    <w:rsid w:val="00C9336E"/>
    <w:rsid w:val="00C93461"/>
    <w:rsid w:val="00C93528"/>
    <w:rsid w:val="00C94096"/>
    <w:rsid w:val="00C946D2"/>
    <w:rsid w:val="00C949DF"/>
    <w:rsid w:val="00C94B96"/>
    <w:rsid w:val="00C94BD0"/>
    <w:rsid w:val="00C9534E"/>
    <w:rsid w:val="00C95641"/>
    <w:rsid w:val="00C9582A"/>
    <w:rsid w:val="00C9605C"/>
    <w:rsid w:val="00C96401"/>
    <w:rsid w:val="00C9684F"/>
    <w:rsid w:val="00C969FC"/>
    <w:rsid w:val="00C96B02"/>
    <w:rsid w:val="00C96D11"/>
    <w:rsid w:val="00C97D8E"/>
    <w:rsid w:val="00CA0A39"/>
    <w:rsid w:val="00CA101B"/>
    <w:rsid w:val="00CA1644"/>
    <w:rsid w:val="00CA1823"/>
    <w:rsid w:val="00CA18A3"/>
    <w:rsid w:val="00CA1DED"/>
    <w:rsid w:val="00CA209A"/>
    <w:rsid w:val="00CA21B4"/>
    <w:rsid w:val="00CA26A3"/>
    <w:rsid w:val="00CA272A"/>
    <w:rsid w:val="00CA27E8"/>
    <w:rsid w:val="00CA2A7A"/>
    <w:rsid w:val="00CA3125"/>
    <w:rsid w:val="00CA3986"/>
    <w:rsid w:val="00CA3D3C"/>
    <w:rsid w:val="00CA3E17"/>
    <w:rsid w:val="00CA3F28"/>
    <w:rsid w:val="00CA45F0"/>
    <w:rsid w:val="00CA4C74"/>
    <w:rsid w:val="00CA4CD8"/>
    <w:rsid w:val="00CA4F78"/>
    <w:rsid w:val="00CA50AC"/>
    <w:rsid w:val="00CA51B3"/>
    <w:rsid w:val="00CA53AA"/>
    <w:rsid w:val="00CA56AC"/>
    <w:rsid w:val="00CA5F3C"/>
    <w:rsid w:val="00CA60E6"/>
    <w:rsid w:val="00CA6465"/>
    <w:rsid w:val="00CA6559"/>
    <w:rsid w:val="00CA69D0"/>
    <w:rsid w:val="00CA6AB0"/>
    <w:rsid w:val="00CA6B51"/>
    <w:rsid w:val="00CA6D5E"/>
    <w:rsid w:val="00CA6F93"/>
    <w:rsid w:val="00CA7022"/>
    <w:rsid w:val="00CA75B4"/>
    <w:rsid w:val="00CA7624"/>
    <w:rsid w:val="00CA767E"/>
    <w:rsid w:val="00CA79D5"/>
    <w:rsid w:val="00CA7B60"/>
    <w:rsid w:val="00CA7F96"/>
    <w:rsid w:val="00CB02A7"/>
    <w:rsid w:val="00CB14C2"/>
    <w:rsid w:val="00CB1BE1"/>
    <w:rsid w:val="00CB2146"/>
    <w:rsid w:val="00CB2394"/>
    <w:rsid w:val="00CB23A1"/>
    <w:rsid w:val="00CB287F"/>
    <w:rsid w:val="00CB2C98"/>
    <w:rsid w:val="00CB2D00"/>
    <w:rsid w:val="00CB2E17"/>
    <w:rsid w:val="00CB305F"/>
    <w:rsid w:val="00CB31EA"/>
    <w:rsid w:val="00CB3E58"/>
    <w:rsid w:val="00CB4324"/>
    <w:rsid w:val="00CB44D7"/>
    <w:rsid w:val="00CB4778"/>
    <w:rsid w:val="00CB4890"/>
    <w:rsid w:val="00CB52DB"/>
    <w:rsid w:val="00CB5310"/>
    <w:rsid w:val="00CB5312"/>
    <w:rsid w:val="00CB54DD"/>
    <w:rsid w:val="00CB5C53"/>
    <w:rsid w:val="00CB5CA7"/>
    <w:rsid w:val="00CB5D5C"/>
    <w:rsid w:val="00CB6392"/>
    <w:rsid w:val="00CB6782"/>
    <w:rsid w:val="00CB6827"/>
    <w:rsid w:val="00CB6A91"/>
    <w:rsid w:val="00CB6C5C"/>
    <w:rsid w:val="00CB6F74"/>
    <w:rsid w:val="00CB7010"/>
    <w:rsid w:val="00CB71B6"/>
    <w:rsid w:val="00CB7700"/>
    <w:rsid w:val="00CC00BC"/>
    <w:rsid w:val="00CC01E0"/>
    <w:rsid w:val="00CC0331"/>
    <w:rsid w:val="00CC03FF"/>
    <w:rsid w:val="00CC07A6"/>
    <w:rsid w:val="00CC0E8F"/>
    <w:rsid w:val="00CC17EF"/>
    <w:rsid w:val="00CC1B98"/>
    <w:rsid w:val="00CC21DC"/>
    <w:rsid w:val="00CC2374"/>
    <w:rsid w:val="00CC24A0"/>
    <w:rsid w:val="00CC282A"/>
    <w:rsid w:val="00CC2BE4"/>
    <w:rsid w:val="00CC2C10"/>
    <w:rsid w:val="00CC367F"/>
    <w:rsid w:val="00CC3EF8"/>
    <w:rsid w:val="00CC4474"/>
    <w:rsid w:val="00CC463E"/>
    <w:rsid w:val="00CC4B73"/>
    <w:rsid w:val="00CC4DCC"/>
    <w:rsid w:val="00CC4EAD"/>
    <w:rsid w:val="00CC4EC8"/>
    <w:rsid w:val="00CC4EDD"/>
    <w:rsid w:val="00CC4FB6"/>
    <w:rsid w:val="00CC5598"/>
    <w:rsid w:val="00CC577D"/>
    <w:rsid w:val="00CC5AE8"/>
    <w:rsid w:val="00CC5B22"/>
    <w:rsid w:val="00CC5D89"/>
    <w:rsid w:val="00CC607D"/>
    <w:rsid w:val="00CC6569"/>
    <w:rsid w:val="00CC6BEB"/>
    <w:rsid w:val="00CC6D29"/>
    <w:rsid w:val="00CC6FB4"/>
    <w:rsid w:val="00CC7439"/>
    <w:rsid w:val="00CC74B2"/>
    <w:rsid w:val="00CC7842"/>
    <w:rsid w:val="00CC7B10"/>
    <w:rsid w:val="00CC7CB9"/>
    <w:rsid w:val="00CC7CBE"/>
    <w:rsid w:val="00CC7CD8"/>
    <w:rsid w:val="00CC7D32"/>
    <w:rsid w:val="00CC7D4E"/>
    <w:rsid w:val="00CD0107"/>
    <w:rsid w:val="00CD0247"/>
    <w:rsid w:val="00CD050B"/>
    <w:rsid w:val="00CD062B"/>
    <w:rsid w:val="00CD0BA4"/>
    <w:rsid w:val="00CD18C6"/>
    <w:rsid w:val="00CD1DB6"/>
    <w:rsid w:val="00CD2104"/>
    <w:rsid w:val="00CD22E8"/>
    <w:rsid w:val="00CD277A"/>
    <w:rsid w:val="00CD281D"/>
    <w:rsid w:val="00CD2923"/>
    <w:rsid w:val="00CD2A7F"/>
    <w:rsid w:val="00CD2B81"/>
    <w:rsid w:val="00CD2D33"/>
    <w:rsid w:val="00CD2E02"/>
    <w:rsid w:val="00CD2E79"/>
    <w:rsid w:val="00CD3569"/>
    <w:rsid w:val="00CD3822"/>
    <w:rsid w:val="00CD39CB"/>
    <w:rsid w:val="00CD3A7F"/>
    <w:rsid w:val="00CD3B25"/>
    <w:rsid w:val="00CD3E5B"/>
    <w:rsid w:val="00CD3E95"/>
    <w:rsid w:val="00CD41B4"/>
    <w:rsid w:val="00CD4260"/>
    <w:rsid w:val="00CD4953"/>
    <w:rsid w:val="00CD52BA"/>
    <w:rsid w:val="00CD568B"/>
    <w:rsid w:val="00CD5982"/>
    <w:rsid w:val="00CD67A1"/>
    <w:rsid w:val="00CD68E2"/>
    <w:rsid w:val="00CD6981"/>
    <w:rsid w:val="00CD6C94"/>
    <w:rsid w:val="00CD6CDD"/>
    <w:rsid w:val="00CD73BD"/>
    <w:rsid w:val="00CD78DA"/>
    <w:rsid w:val="00CD7E25"/>
    <w:rsid w:val="00CD7EEE"/>
    <w:rsid w:val="00CD7F7D"/>
    <w:rsid w:val="00CDC7B7"/>
    <w:rsid w:val="00CE000B"/>
    <w:rsid w:val="00CE06F5"/>
    <w:rsid w:val="00CE086C"/>
    <w:rsid w:val="00CE093A"/>
    <w:rsid w:val="00CE0A9A"/>
    <w:rsid w:val="00CE0B39"/>
    <w:rsid w:val="00CE0DA8"/>
    <w:rsid w:val="00CE1556"/>
    <w:rsid w:val="00CE17ED"/>
    <w:rsid w:val="00CE1B13"/>
    <w:rsid w:val="00CE2010"/>
    <w:rsid w:val="00CE22CA"/>
    <w:rsid w:val="00CE2367"/>
    <w:rsid w:val="00CE2A1C"/>
    <w:rsid w:val="00CE2C9C"/>
    <w:rsid w:val="00CE2D0A"/>
    <w:rsid w:val="00CE3003"/>
    <w:rsid w:val="00CE30FE"/>
    <w:rsid w:val="00CE31C7"/>
    <w:rsid w:val="00CE3441"/>
    <w:rsid w:val="00CE347B"/>
    <w:rsid w:val="00CE36B9"/>
    <w:rsid w:val="00CE3DFF"/>
    <w:rsid w:val="00CE3F3E"/>
    <w:rsid w:val="00CE42A5"/>
    <w:rsid w:val="00CE45A2"/>
    <w:rsid w:val="00CE4674"/>
    <w:rsid w:val="00CE484C"/>
    <w:rsid w:val="00CE488F"/>
    <w:rsid w:val="00CE4A15"/>
    <w:rsid w:val="00CE4DB3"/>
    <w:rsid w:val="00CE51CD"/>
    <w:rsid w:val="00CE544A"/>
    <w:rsid w:val="00CE55AF"/>
    <w:rsid w:val="00CE59E5"/>
    <w:rsid w:val="00CE5AC5"/>
    <w:rsid w:val="00CE630B"/>
    <w:rsid w:val="00CE6821"/>
    <w:rsid w:val="00CE6B88"/>
    <w:rsid w:val="00CE6D9B"/>
    <w:rsid w:val="00CE72F4"/>
    <w:rsid w:val="00CE7575"/>
    <w:rsid w:val="00CE79CC"/>
    <w:rsid w:val="00CE7A1A"/>
    <w:rsid w:val="00CE7A6A"/>
    <w:rsid w:val="00CF018D"/>
    <w:rsid w:val="00CF06D0"/>
    <w:rsid w:val="00CF06D3"/>
    <w:rsid w:val="00CF084A"/>
    <w:rsid w:val="00CF0981"/>
    <w:rsid w:val="00CF0B23"/>
    <w:rsid w:val="00CF1246"/>
    <w:rsid w:val="00CF19A2"/>
    <w:rsid w:val="00CF1C48"/>
    <w:rsid w:val="00CF1DB7"/>
    <w:rsid w:val="00CF1E0F"/>
    <w:rsid w:val="00CF1E8E"/>
    <w:rsid w:val="00CF2020"/>
    <w:rsid w:val="00CF21E7"/>
    <w:rsid w:val="00CF2E01"/>
    <w:rsid w:val="00CF2EA1"/>
    <w:rsid w:val="00CF3162"/>
    <w:rsid w:val="00CF3502"/>
    <w:rsid w:val="00CF3566"/>
    <w:rsid w:val="00CF358E"/>
    <w:rsid w:val="00CF3708"/>
    <w:rsid w:val="00CF3A4B"/>
    <w:rsid w:val="00CF3AAA"/>
    <w:rsid w:val="00CF3CC6"/>
    <w:rsid w:val="00CF3F76"/>
    <w:rsid w:val="00CF4617"/>
    <w:rsid w:val="00CF4998"/>
    <w:rsid w:val="00CF552E"/>
    <w:rsid w:val="00CF5555"/>
    <w:rsid w:val="00CF5677"/>
    <w:rsid w:val="00CF59C0"/>
    <w:rsid w:val="00CF59DC"/>
    <w:rsid w:val="00CF5DA8"/>
    <w:rsid w:val="00CF68AE"/>
    <w:rsid w:val="00CF6F4D"/>
    <w:rsid w:val="00CF70F3"/>
    <w:rsid w:val="00CF7120"/>
    <w:rsid w:val="00CF7D47"/>
    <w:rsid w:val="00D002FB"/>
    <w:rsid w:val="00D00F41"/>
    <w:rsid w:val="00D015D8"/>
    <w:rsid w:val="00D0164B"/>
    <w:rsid w:val="00D018E5"/>
    <w:rsid w:val="00D01AE1"/>
    <w:rsid w:val="00D01DD3"/>
    <w:rsid w:val="00D02031"/>
    <w:rsid w:val="00D026B2"/>
    <w:rsid w:val="00D02BF1"/>
    <w:rsid w:val="00D02C4E"/>
    <w:rsid w:val="00D03133"/>
    <w:rsid w:val="00D033D1"/>
    <w:rsid w:val="00D03B74"/>
    <w:rsid w:val="00D03F3A"/>
    <w:rsid w:val="00D04300"/>
    <w:rsid w:val="00D04658"/>
    <w:rsid w:val="00D04DA8"/>
    <w:rsid w:val="00D04DF5"/>
    <w:rsid w:val="00D04E99"/>
    <w:rsid w:val="00D0527F"/>
    <w:rsid w:val="00D05805"/>
    <w:rsid w:val="00D05865"/>
    <w:rsid w:val="00D05B55"/>
    <w:rsid w:val="00D05EAD"/>
    <w:rsid w:val="00D060B0"/>
    <w:rsid w:val="00D06546"/>
    <w:rsid w:val="00D067A9"/>
    <w:rsid w:val="00D0687A"/>
    <w:rsid w:val="00D06FC4"/>
    <w:rsid w:val="00D07114"/>
    <w:rsid w:val="00D071DB"/>
    <w:rsid w:val="00D07415"/>
    <w:rsid w:val="00D078D2"/>
    <w:rsid w:val="00D07983"/>
    <w:rsid w:val="00D10110"/>
    <w:rsid w:val="00D1012B"/>
    <w:rsid w:val="00D10797"/>
    <w:rsid w:val="00D10A20"/>
    <w:rsid w:val="00D10BCA"/>
    <w:rsid w:val="00D10D18"/>
    <w:rsid w:val="00D10DF5"/>
    <w:rsid w:val="00D110A0"/>
    <w:rsid w:val="00D112F9"/>
    <w:rsid w:val="00D116E7"/>
    <w:rsid w:val="00D11710"/>
    <w:rsid w:val="00D118EC"/>
    <w:rsid w:val="00D11AD0"/>
    <w:rsid w:val="00D11E0C"/>
    <w:rsid w:val="00D12700"/>
    <w:rsid w:val="00D12CCF"/>
    <w:rsid w:val="00D12E9F"/>
    <w:rsid w:val="00D138BC"/>
    <w:rsid w:val="00D138EA"/>
    <w:rsid w:val="00D138FB"/>
    <w:rsid w:val="00D13FB8"/>
    <w:rsid w:val="00D13FEC"/>
    <w:rsid w:val="00D140C6"/>
    <w:rsid w:val="00D147B6"/>
    <w:rsid w:val="00D14E00"/>
    <w:rsid w:val="00D14E5A"/>
    <w:rsid w:val="00D14F85"/>
    <w:rsid w:val="00D150E5"/>
    <w:rsid w:val="00D15318"/>
    <w:rsid w:val="00D153AD"/>
    <w:rsid w:val="00D153F1"/>
    <w:rsid w:val="00D15F0C"/>
    <w:rsid w:val="00D16190"/>
    <w:rsid w:val="00D16231"/>
    <w:rsid w:val="00D16BD5"/>
    <w:rsid w:val="00D16FE1"/>
    <w:rsid w:val="00D17061"/>
    <w:rsid w:val="00D17108"/>
    <w:rsid w:val="00D17152"/>
    <w:rsid w:val="00D17742"/>
    <w:rsid w:val="00D178F5"/>
    <w:rsid w:val="00D17AD3"/>
    <w:rsid w:val="00D17B6A"/>
    <w:rsid w:val="00D17CB9"/>
    <w:rsid w:val="00D20811"/>
    <w:rsid w:val="00D21342"/>
    <w:rsid w:val="00D21424"/>
    <w:rsid w:val="00D21BAB"/>
    <w:rsid w:val="00D21BFD"/>
    <w:rsid w:val="00D21F0F"/>
    <w:rsid w:val="00D21F8D"/>
    <w:rsid w:val="00D21FE2"/>
    <w:rsid w:val="00D220AB"/>
    <w:rsid w:val="00D2302F"/>
    <w:rsid w:val="00D23071"/>
    <w:rsid w:val="00D230BB"/>
    <w:rsid w:val="00D23526"/>
    <w:rsid w:val="00D23682"/>
    <w:rsid w:val="00D23BD3"/>
    <w:rsid w:val="00D23CDF"/>
    <w:rsid w:val="00D23FDF"/>
    <w:rsid w:val="00D24080"/>
    <w:rsid w:val="00D241E5"/>
    <w:rsid w:val="00D241EA"/>
    <w:rsid w:val="00D24B49"/>
    <w:rsid w:val="00D25602"/>
    <w:rsid w:val="00D2616D"/>
    <w:rsid w:val="00D26408"/>
    <w:rsid w:val="00D2670B"/>
    <w:rsid w:val="00D26885"/>
    <w:rsid w:val="00D26E85"/>
    <w:rsid w:val="00D27438"/>
    <w:rsid w:val="00D2750E"/>
    <w:rsid w:val="00D278FE"/>
    <w:rsid w:val="00D27B7C"/>
    <w:rsid w:val="00D27F73"/>
    <w:rsid w:val="00D30162"/>
    <w:rsid w:val="00D30458"/>
    <w:rsid w:val="00D304DB"/>
    <w:rsid w:val="00D30605"/>
    <w:rsid w:val="00D30A34"/>
    <w:rsid w:val="00D30A95"/>
    <w:rsid w:val="00D30B9D"/>
    <w:rsid w:val="00D30F75"/>
    <w:rsid w:val="00D31142"/>
    <w:rsid w:val="00D311EB"/>
    <w:rsid w:val="00D31254"/>
    <w:rsid w:val="00D323BB"/>
    <w:rsid w:val="00D32709"/>
    <w:rsid w:val="00D32DB4"/>
    <w:rsid w:val="00D33090"/>
    <w:rsid w:val="00D3332D"/>
    <w:rsid w:val="00D33806"/>
    <w:rsid w:val="00D33A55"/>
    <w:rsid w:val="00D33AE8"/>
    <w:rsid w:val="00D33AEF"/>
    <w:rsid w:val="00D33BFE"/>
    <w:rsid w:val="00D33E30"/>
    <w:rsid w:val="00D3424E"/>
    <w:rsid w:val="00D34920"/>
    <w:rsid w:val="00D351A1"/>
    <w:rsid w:val="00D3533B"/>
    <w:rsid w:val="00D3587E"/>
    <w:rsid w:val="00D358ED"/>
    <w:rsid w:val="00D35B29"/>
    <w:rsid w:val="00D35EEE"/>
    <w:rsid w:val="00D36B9F"/>
    <w:rsid w:val="00D36DB4"/>
    <w:rsid w:val="00D377C6"/>
    <w:rsid w:val="00D37A3F"/>
    <w:rsid w:val="00D37DA1"/>
    <w:rsid w:val="00D400A6"/>
    <w:rsid w:val="00D4033C"/>
    <w:rsid w:val="00D40EAB"/>
    <w:rsid w:val="00D40FC0"/>
    <w:rsid w:val="00D415F9"/>
    <w:rsid w:val="00D417B9"/>
    <w:rsid w:val="00D41C6F"/>
    <w:rsid w:val="00D42189"/>
    <w:rsid w:val="00D42431"/>
    <w:rsid w:val="00D42675"/>
    <w:rsid w:val="00D42D0C"/>
    <w:rsid w:val="00D434E3"/>
    <w:rsid w:val="00D436B2"/>
    <w:rsid w:val="00D43A2A"/>
    <w:rsid w:val="00D43E92"/>
    <w:rsid w:val="00D44157"/>
    <w:rsid w:val="00D441CC"/>
    <w:rsid w:val="00D44C44"/>
    <w:rsid w:val="00D45C8C"/>
    <w:rsid w:val="00D45C8D"/>
    <w:rsid w:val="00D45FA2"/>
    <w:rsid w:val="00D46235"/>
    <w:rsid w:val="00D463A2"/>
    <w:rsid w:val="00D46970"/>
    <w:rsid w:val="00D46E25"/>
    <w:rsid w:val="00D47243"/>
    <w:rsid w:val="00D47388"/>
    <w:rsid w:val="00D473B6"/>
    <w:rsid w:val="00D47672"/>
    <w:rsid w:val="00D47CF9"/>
    <w:rsid w:val="00D500C3"/>
    <w:rsid w:val="00D50101"/>
    <w:rsid w:val="00D501FF"/>
    <w:rsid w:val="00D50272"/>
    <w:rsid w:val="00D50380"/>
    <w:rsid w:val="00D50DCA"/>
    <w:rsid w:val="00D50E41"/>
    <w:rsid w:val="00D50EB0"/>
    <w:rsid w:val="00D50F17"/>
    <w:rsid w:val="00D512B4"/>
    <w:rsid w:val="00D514E2"/>
    <w:rsid w:val="00D515DC"/>
    <w:rsid w:val="00D5163C"/>
    <w:rsid w:val="00D51C77"/>
    <w:rsid w:val="00D5225B"/>
    <w:rsid w:val="00D523C4"/>
    <w:rsid w:val="00D52607"/>
    <w:rsid w:val="00D52956"/>
    <w:rsid w:val="00D52F91"/>
    <w:rsid w:val="00D5312E"/>
    <w:rsid w:val="00D533E6"/>
    <w:rsid w:val="00D53478"/>
    <w:rsid w:val="00D535FF"/>
    <w:rsid w:val="00D539AF"/>
    <w:rsid w:val="00D539E0"/>
    <w:rsid w:val="00D53BFB"/>
    <w:rsid w:val="00D53FD7"/>
    <w:rsid w:val="00D54082"/>
    <w:rsid w:val="00D54497"/>
    <w:rsid w:val="00D5491D"/>
    <w:rsid w:val="00D54CCA"/>
    <w:rsid w:val="00D54DB0"/>
    <w:rsid w:val="00D5507D"/>
    <w:rsid w:val="00D554A4"/>
    <w:rsid w:val="00D555CF"/>
    <w:rsid w:val="00D5574B"/>
    <w:rsid w:val="00D55859"/>
    <w:rsid w:val="00D5613A"/>
    <w:rsid w:val="00D5621A"/>
    <w:rsid w:val="00D5634D"/>
    <w:rsid w:val="00D56D0B"/>
    <w:rsid w:val="00D56D16"/>
    <w:rsid w:val="00D57540"/>
    <w:rsid w:val="00D5791A"/>
    <w:rsid w:val="00D57A3E"/>
    <w:rsid w:val="00D57AA4"/>
    <w:rsid w:val="00D57CA8"/>
    <w:rsid w:val="00D57CBB"/>
    <w:rsid w:val="00D600EF"/>
    <w:rsid w:val="00D60665"/>
    <w:rsid w:val="00D60738"/>
    <w:rsid w:val="00D60C15"/>
    <w:rsid w:val="00D6123C"/>
    <w:rsid w:val="00D61B46"/>
    <w:rsid w:val="00D620A8"/>
    <w:rsid w:val="00D6218B"/>
    <w:rsid w:val="00D627DC"/>
    <w:rsid w:val="00D62983"/>
    <w:rsid w:val="00D62EE4"/>
    <w:rsid w:val="00D630CD"/>
    <w:rsid w:val="00D63423"/>
    <w:rsid w:val="00D6372D"/>
    <w:rsid w:val="00D63857"/>
    <w:rsid w:val="00D638CC"/>
    <w:rsid w:val="00D63A2A"/>
    <w:rsid w:val="00D63C0B"/>
    <w:rsid w:val="00D63CD9"/>
    <w:rsid w:val="00D64762"/>
    <w:rsid w:val="00D64929"/>
    <w:rsid w:val="00D64CB8"/>
    <w:rsid w:val="00D64DED"/>
    <w:rsid w:val="00D64EF3"/>
    <w:rsid w:val="00D64FD5"/>
    <w:rsid w:val="00D650FF"/>
    <w:rsid w:val="00D65463"/>
    <w:rsid w:val="00D65851"/>
    <w:rsid w:val="00D65CEB"/>
    <w:rsid w:val="00D662E2"/>
    <w:rsid w:val="00D66555"/>
    <w:rsid w:val="00D67000"/>
    <w:rsid w:val="00D670F5"/>
    <w:rsid w:val="00D67107"/>
    <w:rsid w:val="00D67803"/>
    <w:rsid w:val="00D67DBA"/>
    <w:rsid w:val="00D67FFC"/>
    <w:rsid w:val="00D70B29"/>
    <w:rsid w:val="00D70FD7"/>
    <w:rsid w:val="00D71C5F"/>
    <w:rsid w:val="00D71E0C"/>
    <w:rsid w:val="00D72435"/>
    <w:rsid w:val="00D72F5A"/>
    <w:rsid w:val="00D73332"/>
    <w:rsid w:val="00D73468"/>
    <w:rsid w:val="00D7351B"/>
    <w:rsid w:val="00D7383A"/>
    <w:rsid w:val="00D7411E"/>
    <w:rsid w:val="00D741D1"/>
    <w:rsid w:val="00D74448"/>
    <w:rsid w:val="00D74661"/>
    <w:rsid w:val="00D7466B"/>
    <w:rsid w:val="00D748B1"/>
    <w:rsid w:val="00D74AA6"/>
    <w:rsid w:val="00D74C82"/>
    <w:rsid w:val="00D75549"/>
    <w:rsid w:val="00D755FD"/>
    <w:rsid w:val="00D75E36"/>
    <w:rsid w:val="00D75E96"/>
    <w:rsid w:val="00D75F32"/>
    <w:rsid w:val="00D75F4D"/>
    <w:rsid w:val="00D760CB"/>
    <w:rsid w:val="00D7640D"/>
    <w:rsid w:val="00D7667B"/>
    <w:rsid w:val="00D76CE8"/>
    <w:rsid w:val="00D77F13"/>
    <w:rsid w:val="00D804F1"/>
    <w:rsid w:val="00D805D4"/>
    <w:rsid w:val="00D80905"/>
    <w:rsid w:val="00D811C1"/>
    <w:rsid w:val="00D8148C"/>
    <w:rsid w:val="00D816B4"/>
    <w:rsid w:val="00D816CD"/>
    <w:rsid w:val="00D81782"/>
    <w:rsid w:val="00D81BAE"/>
    <w:rsid w:val="00D81E26"/>
    <w:rsid w:val="00D829BF"/>
    <w:rsid w:val="00D82DBC"/>
    <w:rsid w:val="00D83062"/>
    <w:rsid w:val="00D835EB"/>
    <w:rsid w:val="00D83A1C"/>
    <w:rsid w:val="00D83A33"/>
    <w:rsid w:val="00D83E95"/>
    <w:rsid w:val="00D83EF4"/>
    <w:rsid w:val="00D843F7"/>
    <w:rsid w:val="00D84E12"/>
    <w:rsid w:val="00D85150"/>
    <w:rsid w:val="00D852E6"/>
    <w:rsid w:val="00D85586"/>
    <w:rsid w:val="00D85A57"/>
    <w:rsid w:val="00D86195"/>
    <w:rsid w:val="00D86653"/>
    <w:rsid w:val="00D8668C"/>
    <w:rsid w:val="00D866FE"/>
    <w:rsid w:val="00D86709"/>
    <w:rsid w:val="00D867D3"/>
    <w:rsid w:val="00D867D5"/>
    <w:rsid w:val="00D86F8F"/>
    <w:rsid w:val="00D8780D"/>
    <w:rsid w:val="00D87919"/>
    <w:rsid w:val="00D87963"/>
    <w:rsid w:val="00D87B46"/>
    <w:rsid w:val="00D87EB6"/>
    <w:rsid w:val="00D90121"/>
    <w:rsid w:val="00D907FE"/>
    <w:rsid w:val="00D9095D"/>
    <w:rsid w:val="00D90EBD"/>
    <w:rsid w:val="00D90EF1"/>
    <w:rsid w:val="00D9137A"/>
    <w:rsid w:val="00D914B3"/>
    <w:rsid w:val="00D9177A"/>
    <w:rsid w:val="00D917D5"/>
    <w:rsid w:val="00D919FA"/>
    <w:rsid w:val="00D91FE3"/>
    <w:rsid w:val="00D92106"/>
    <w:rsid w:val="00D9232C"/>
    <w:rsid w:val="00D9305D"/>
    <w:rsid w:val="00D9364C"/>
    <w:rsid w:val="00D93D1F"/>
    <w:rsid w:val="00D9416D"/>
    <w:rsid w:val="00D942C6"/>
    <w:rsid w:val="00D9459D"/>
    <w:rsid w:val="00D9477C"/>
    <w:rsid w:val="00D948E6"/>
    <w:rsid w:val="00D94C86"/>
    <w:rsid w:val="00D94CF0"/>
    <w:rsid w:val="00D94F65"/>
    <w:rsid w:val="00D95E95"/>
    <w:rsid w:val="00D963D1"/>
    <w:rsid w:val="00D96BB3"/>
    <w:rsid w:val="00D96CE6"/>
    <w:rsid w:val="00D96FB5"/>
    <w:rsid w:val="00D9713E"/>
    <w:rsid w:val="00D977C0"/>
    <w:rsid w:val="00D9789A"/>
    <w:rsid w:val="00D97F30"/>
    <w:rsid w:val="00D97F67"/>
    <w:rsid w:val="00DA0397"/>
    <w:rsid w:val="00DA0547"/>
    <w:rsid w:val="00DA0606"/>
    <w:rsid w:val="00DA062D"/>
    <w:rsid w:val="00DA081C"/>
    <w:rsid w:val="00DA09BA"/>
    <w:rsid w:val="00DA0A72"/>
    <w:rsid w:val="00DA10BB"/>
    <w:rsid w:val="00DA1165"/>
    <w:rsid w:val="00DA1234"/>
    <w:rsid w:val="00DA1515"/>
    <w:rsid w:val="00DA185E"/>
    <w:rsid w:val="00DA1865"/>
    <w:rsid w:val="00DA193B"/>
    <w:rsid w:val="00DA1E92"/>
    <w:rsid w:val="00DA1EEC"/>
    <w:rsid w:val="00DA22CE"/>
    <w:rsid w:val="00DA2BA5"/>
    <w:rsid w:val="00DA2C5D"/>
    <w:rsid w:val="00DA2F60"/>
    <w:rsid w:val="00DA30C8"/>
    <w:rsid w:val="00DA3274"/>
    <w:rsid w:val="00DA3551"/>
    <w:rsid w:val="00DA35AA"/>
    <w:rsid w:val="00DA36A0"/>
    <w:rsid w:val="00DA3854"/>
    <w:rsid w:val="00DA391F"/>
    <w:rsid w:val="00DA3C24"/>
    <w:rsid w:val="00DA442B"/>
    <w:rsid w:val="00DA458A"/>
    <w:rsid w:val="00DA484A"/>
    <w:rsid w:val="00DA55DE"/>
    <w:rsid w:val="00DA5755"/>
    <w:rsid w:val="00DA5781"/>
    <w:rsid w:val="00DA57A3"/>
    <w:rsid w:val="00DA5D00"/>
    <w:rsid w:val="00DA5D6B"/>
    <w:rsid w:val="00DA6497"/>
    <w:rsid w:val="00DA6591"/>
    <w:rsid w:val="00DA65F9"/>
    <w:rsid w:val="00DA6C45"/>
    <w:rsid w:val="00DA6EE7"/>
    <w:rsid w:val="00DA7203"/>
    <w:rsid w:val="00DA76C5"/>
    <w:rsid w:val="00DA7EBA"/>
    <w:rsid w:val="00DB028F"/>
    <w:rsid w:val="00DB04C4"/>
    <w:rsid w:val="00DB04EC"/>
    <w:rsid w:val="00DB0B5A"/>
    <w:rsid w:val="00DB0BEF"/>
    <w:rsid w:val="00DB0FA8"/>
    <w:rsid w:val="00DB11E9"/>
    <w:rsid w:val="00DB12A2"/>
    <w:rsid w:val="00DB1459"/>
    <w:rsid w:val="00DB1D95"/>
    <w:rsid w:val="00DB202E"/>
    <w:rsid w:val="00DB2113"/>
    <w:rsid w:val="00DB288E"/>
    <w:rsid w:val="00DB296D"/>
    <w:rsid w:val="00DB2ED2"/>
    <w:rsid w:val="00DB3784"/>
    <w:rsid w:val="00DB4164"/>
    <w:rsid w:val="00DB432A"/>
    <w:rsid w:val="00DB464C"/>
    <w:rsid w:val="00DB47D7"/>
    <w:rsid w:val="00DB4917"/>
    <w:rsid w:val="00DB49B5"/>
    <w:rsid w:val="00DB4DA5"/>
    <w:rsid w:val="00DB5816"/>
    <w:rsid w:val="00DB58CE"/>
    <w:rsid w:val="00DB5D9E"/>
    <w:rsid w:val="00DB6777"/>
    <w:rsid w:val="00DB6C84"/>
    <w:rsid w:val="00DB6DBD"/>
    <w:rsid w:val="00DB73F3"/>
    <w:rsid w:val="00DB742E"/>
    <w:rsid w:val="00DB748D"/>
    <w:rsid w:val="00DB7C68"/>
    <w:rsid w:val="00DB7DE2"/>
    <w:rsid w:val="00DB7F82"/>
    <w:rsid w:val="00DC00AE"/>
    <w:rsid w:val="00DC02A8"/>
    <w:rsid w:val="00DC04FD"/>
    <w:rsid w:val="00DC0B33"/>
    <w:rsid w:val="00DC0B66"/>
    <w:rsid w:val="00DC1164"/>
    <w:rsid w:val="00DC120A"/>
    <w:rsid w:val="00DC167B"/>
    <w:rsid w:val="00DC176C"/>
    <w:rsid w:val="00DC186E"/>
    <w:rsid w:val="00DC19B6"/>
    <w:rsid w:val="00DC1A1D"/>
    <w:rsid w:val="00DC1A53"/>
    <w:rsid w:val="00DC1B7C"/>
    <w:rsid w:val="00DC1BEC"/>
    <w:rsid w:val="00DC1ED1"/>
    <w:rsid w:val="00DC1F22"/>
    <w:rsid w:val="00DC205F"/>
    <w:rsid w:val="00DC2088"/>
    <w:rsid w:val="00DC2305"/>
    <w:rsid w:val="00DC255F"/>
    <w:rsid w:val="00DC2AC0"/>
    <w:rsid w:val="00DC2B56"/>
    <w:rsid w:val="00DC2BB5"/>
    <w:rsid w:val="00DC2EBD"/>
    <w:rsid w:val="00DC3321"/>
    <w:rsid w:val="00DC3582"/>
    <w:rsid w:val="00DC36BE"/>
    <w:rsid w:val="00DC3790"/>
    <w:rsid w:val="00DC38AA"/>
    <w:rsid w:val="00DC39C7"/>
    <w:rsid w:val="00DC3D9F"/>
    <w:rsid w:val="00DC4030"/>
    <w:rsid w:val="00DC4567"/>
    <w:rsid w:val="00DC4851"/>
    <w:rsid w:val="00DC490B"/>
    <w:rsid w:val="00DC4D00"/>
    <w:rsid w:val="00DC4EC1"/>
    <w:rsid w:val="00DC54FE"/>
    <w:rsid w:val="00DC5618"/>
    <w:rsid w:val="00DC57D9"/>
    <w:rsid w:val="00DC5A60"/>
    <w:rsid w:val="00DC5F21"/>
    <w:rsid w:val="00DC616A"/>
    <w:rsid w:val="00DC67E7"/>
    <w:rsid w:val="00DC724E"/>
    <w:rsid w:val="00DC7602"/>
    <w:rsid w:val="00DC775A"/>
    <w:rsid w:val="00DC7927"/>
    <w:rsid w:val="00DC799C"/>
    <w:rsid w:val="00DC79A4"/>
    <w:rsid w:val="00DC7A28"/>
    <w:rsid w:val="00DC7A60"/>
    <w:rsid w:val="00DC7C5E"/>
    <w:rsid w:val="00DD0033"/>
    <w:rsid w:val="00DD003A"/>
    <w:rsid w:val="00DD022A"/>
    <w:rsid w:val="00DD0630"/>
    <w:rsid w:val="00DD0808"/>
    <w:rsid w:val="00DD0D3E"/>
    <w:rsid w:val="00DD1E90"/>
    <w:rsid w:val="00DD2464"/>
    <w:rsid w:val="00DD24C3"/>
    <w:rsid w:val="00DD26B0"/>
    <w:rsid w:val="00DD32CD"/>
    <w:rsid w:val="00DD3485"/>
    <w:rsid w:val="00DD368F"/>
    <w:rsid w:val="00DD4229"/>
    <w:rsid w:val="00DD4595"/>
    <w:rsid w:val="00DD4A10"/>
    <w:rsid w:val="00DD4AAD"/>
    <w:rsid w:val="00DD50F8"/>
    <w:rsid w:val="00DD56E4"/>
    <w:rsid w:val="00DD58BC"/>
    <w:rsid w:val="00DD5ACC"/>
    <w:rsid w:val="00DD5DD0"/>
    <w:rsid w:val="00DD6158"/>
    <w:rsid w:val="00DD6463"/>
    <w:rsid w:val="00DD6807"/>
    <w:rsid w:val="00DD6BF3"/>
    <w:rsid w:val="00DD6D89"/>
    <w:rsid w:val="00DD7990"/>
    <w:rsid w:val="00DD7C07"/>
    <w:rsid w:val="00DD7CE8"/>
    <w:rsid w:val="00DD7E01"/>
    <w:rsid w:val="00DE0028"/>
    <w:rsid w:val="00DE016D"/>
    <w:rsid w:val="00DE01DD"/>
    <w:rsid w:val="00DE03AC"/>
    <w:rsid w:val="00DE0454"/>
    <w:rsid w:val="00DE05DD"/>
    <w:rsid w:val="00DE1857"/>
    <w:rsid w:val="00DE1E0D"/>
    <w:rsid w:val="00DE20AE"/>
    <w:rsid w:val="00DE2140"/>
    <w:rsid w:val="00DE29C2"/>
    <w:rsid w:val="00DE2A0D"/>
    <w:rsid w:val="00DE32AA"/>
    <w:rsid w:val="00DE34C8"/>
    <w:rsid w:val="00DE3824"/>
    <w:rsid w:val="00DE3957"/>
    <w:rsid w:val="00DE3A78"/>
    <w:rsid w:val="00DE47DA"/>
    <w:rsid w:val="00DE49FA"/>
    <w:rsid w:val="00DE4B06"/>
    <w:rsid w:val="00DE4FDB"/>
    <w:rsid w:val="00DE51E9"/>
    <w:rsid w:val="00DE5351"/>
    <w:rsid w:val="00DE572B"/>
    <w:rsid w:val="00DE586A"/>
    <w:rsid w:val="00DE6418"/>
    <w:rsid w:val="00DE641E"/>
    <w:rsid w:val="00DE65C4"/>
    <w:rsid w:val="00DE6D50"/>
    <w:rsid w:val="00DE6FD6"/>
    <w:rsid w:val="00DE73F9"/>
    <w:rsid w:val="00DE762F"/>
    <w:rsid w:val="00DE76CA"/>
    <w:rsid w:val="00DE7B07"/>
    <w:rsid w:val="00DE7F10"/>
    <w:rsid w:val="00DF01B8"/>
    <w:rsid w:val="00DF01D5"/>
    <w:rsid w:val="00DF043B"/>
    <w:rsid w:val="00DF0948"/>
    <w:rsid w:val="00DF096E"/>
    <w:rsid w:val="00DF0D53"/>
    <w:rsid w:val="00DF0E54"/>
    <w:rsid w:val="00DF0E66"/>
    <w:rsid w:val="00DF10F8"/>
    <w:rsid w:val="00DF110B"/>
    <w:rsid w:val="00DF1C94"/>
    <w:rsid w:val="00DF1CBA"/>
    <w:rsid w:val="00DF1FAD"/>
    <w:rsid w:val="00DF2743"/>
    <w:rsid w:val="00DF300C"/>
    <w:rsid w:val="00DF339E"/>
    <w:rsid w:val="00DF33A9"/>
    <w:rsid w:val="00DF368A"/>
    <w:rsid w:val="00DF38A8"/>
    <w:rsid w:val="00DF3C1D"/>
    <w:rsid w:val="00DF3FA2"/>
    <w:rsid w:val="00DF417E"/>
    <w:rsid w:val="00DF4462"/>
    <w:rsid w:val="00DF4CE9"/>
    <w:rsid w:val="00DF4E0F"/>
    <w:rsid w:val="00DF52A7"/>
    <w:rsid w:val="00DF5411"/>
    <w:rsid w:val="00DF5519"/>
    <w:rsid w:val="00DF5780"/>
    <w:rsid w:val="00DF5991"/>
    <w:rsid w:val="00DF6353"/>
    <w:rsid w:val="00DF659A"/>
    <w:rsid w:val="00DF6676"/>
    <w:rsid w:val="00DF67F8"/>
    <w:rsid w:val="00DF6B6F"/>
    <w:rsid w:val="00DF6C75"/>
    <w:rsid w:val="00DF7502"/>
    <w:rsid w:val="00DF77E4"/>
    <w:rsid w:val="00DF793C"/>
    <w:rsid w:val="00E00148"/>
    <w:rsid w:val="00E004B3"/>
    <w:rsid w:val="00E005F5"/>
    <w:rsid w:val="00E00B15"/>
    <w:rsid w:val="00E00EC7"/>
    <w:rsid w:val="00E00EF1"/>
    <w:rsid w:val="00E0125C"/>
    <w:rsid w:val="00E01349"/>
    <w:rsid w:val="00E01439"/>
    <w:rsid w:val="00E019D7"/>
    <w:rsid w:val="00E019F5"/>
    <w:rsid w:val="00E01C95"/>
    <w:rsid w:val="00E01D56"/>
    <w:rsid w:val="00E020D9"/>
    <w:rsid w:val="00E0231A"/>
    <w:rsid w:val="00E024FB"/>
    <w:rsid w:val="00E0251C"/>
    <w:rsid w:val="00E027DB"/>
    <w:rsid w:val="00E02DCF"/>
    <w:rsid w:val="00E02F69"/>
    <w:rsid w:val="00E03016"/>
    <w:rsid w:val="00E03083"/>
    <w:rsid w:val="00E03181"/>
    <w:rsid w:val="00E038D5"/>
    <w:rsid w:val="00E03982"/>
    <w:rsid w:val="00E039DF"/>
    <w:rsid w:val="00E04420"/>
    <w:rsid w:val="00E0459B"/>
    <w:rsid w:val="00E049FE"/>
    <w:rsid w:val="00E04E99"/>
    <w:rsid w:val="00E04F89"/>
    <w:rsid w:val="00E0514E"/>
    <w:rsid w:val="00E0526D"/>
    <w:rsid w:val="00E052A2"/>
    <w:rsid w:val="00E052C3"/>
    <w:rsid w:val="00E052CA"/>
    <w:rsid w:val="00E053C7"/>
    <w:rsid w:val="00E059BF"/>
    <w:rsid w:val="00E05C99"/>
    <w:rsid w:val="00E05FA3"/>
    <w:rsid w:val="00E07BEF"/>
    <w:rsid w:val="00E103B6"/>
    <w:rsid w:val="00E1062C"/>
    <w:rsid w:val="00E10641"/>
    <w:rsid w:val="00E10849"/>
    <w:rsid w:val="00E10A43"/>
    <w:rsid w:val="00E110B6"/>
    <w:rsid w:val="00E1117C"/>
    <w:rsid w:val="00E11877"/>
    <w:rsid w:val="00E124D3"/>
    <w:rsid w:val="00E128DB"/>
    <w:rsid w:val="00E12D29"/>
    <w:rsid w:val="00E13472"/>
    <w:rsid w:val="00E13789"/>
    <w:rsid w:val="00E13962"/>
    <w:rsid w:val="00E13BB0"/>
    <w:rsid w:val="00E14053"/>
    <w:rsid w:val="00E14173"/>
    <w:rsid w:val="00E14271"/>
    <w:rsid w:val="00E14559"/>
    <w:rsid w:val="00E14778"/>
    <w:rsid w:val="00E14E89"/>
    <w:rsid w:val="00E15657"/>
    <w:rsid w:val="00E1596E"/>
    <w:rsid w:val="00E1629D"/>
    <w:rsid w:val="00E16AF8"/>
    <w:rsid w:val="00E16DF1"/>
    <w:rsid w:val="00E172CD"/>
    <w:rsid w:val="00E1746D"/>
    <w:rsid w:val="00E17782"/>
    <w:rsid w:val="00E179BA"/>
    <w:rsid w:val="00E17A48"/>
    <w:rsid w:val="00E17FC2"/>
    <w:rsid w:val="00E200CE"/>
    <w:rsid w:val="00E2012B"/>
    <w:rsid w:val="00E202A2"/>
    <w:rsid w:val="00E202A5"/>
    <w:rsid w:val="00E20649"/>
    <w:rsid w:val="00E2069F"/>
    <w:rsid w:val="00E210C9"/>
    <w:rsid w:val="00E217C2"/>
    <w:rsid w:val="00E2192E"/>
    <w:rsid w:val="00E22823"/>
    <w:rsid w:val="00E22850"/>
    <w:rsid w:val="00E2296E"/>
    <w:rsid w:val="00E2298B"/>
    <w:rsid w:val="00E22BE2"/>
    <w:rsid w:val="00E22E07"/>
    <w:rsid w:val="00E230BD"/>
    <w:rsid w:val="00E2372A"/>
    <w:rsid w:val="00E237F3"/>
    <w:rsid w:val="00E23A30"/>
    <w:rsid w:val="00E23A3D"/>
    <w:rsid w:val="00E23B9C"/>
    <w:rsid w:val="00E23C14"/>
    <w:rsid w:val="00E2429A"/>
    <w:rsid w:val="00E242F8"/>
    <w:rsid w:val="00E24E56"/>
    <w:rsid w:val="00E250A5"/>
    <w:rsid w:val="00E250B8"/>
    <w:rsid w:val="00E255F4"/>
    <w:rsid w:val="00E25DAF"/>
    <w:rsid w:val="00E25E30"/>
    <w:rsid w:val="00E25E41"/>
    <w:rsid w:val="00E26183"/>
    <w:rsid w:val="00E262EC"/>
    <w:rsid w:val="00E265C0"/>
    <w:rsid w:val="00E26B18"/>
    <w:rsid w:val="00E26FC8"/>
    <w:rsid w:val="00E27145"/>
    <w:rsid w:val="00E27196"/>
    <w:rsid w:val="00E27815"/>
    <w:rsid w:val="00E27A18"/>
    <w:rsid w:val="00E27D30"/>
    <w:rsid w:val="00E27F79"/>
    <w:rsid w:val="00E27FCF"/>
    <w:rsid w:val="00E307F4"/>
    <w:rsid w:val="00E30A2E"/>
    <w:rsid w:val="00E30BC1"/>
    <w:rsid w:val="00E30F06"/>
    <w:rsid w:val="00E30F21"/>
    <w:rsid w:val="00E311BF"/>
    <w:rsid w:val="00E315FE"/>
    <w:rsid w:val="00E31779"/>
    <w:rsid w:val="00E31AA0"/>
    <w:rsid w:val="00E31D6D"/>
    <w:rsid w:val="00E31E7E"/>
    <w:rsid w:val="00E32E3D"/>
    <w:rsid w:val="00E33231"/>
    <w:rsid w:val="00E334EE"/>
    <w:rsid w:val="00E335C9"/>
    <w:rsid w:val="00E3377E"/>
    <w:rsid w:val="00E339E5"/>
    <w:rsid w:val="00E34619"/>
    <w:rsid w:val="00E34A93"/>
    <w:rsid w:val="00E34DED"/>
    <w:rsid w:val="00E352B7"/>
    <w:rsid w:val="00E357D9"/>
    <w:rsid w:val="00E35A9E"/>
    <w:rsid w:val="00E35DC4"/>
    <w:rsid w:val="00E3623B"/>
    <w:rsid w:val="00E366A6"/>
    <w:rsid w:val="00E36C04"/>
    <w:rsid w:val="00E36E5F"/>
    <w:rsid w:val="00E36EF0"/>
    <w:rsid w:val="00E37F55"/>
    <w:rsid w:val="00E40056"/>
    <w:rsid w:val="00E404A8"/>
    <w:rsid w:val="00E4073A"/>
    <w:rsid w:val="00E40857"/>
    <w:rsid w:val="00E40C30"/>
    <w:rsid w:val="00E40EA0"/>
    <w:rsid w:val="00E41130"/>
    <w:rsid w:val="00E412CC"/>
    <w:rsid w:val="00E413B0"/>
    <w:rsid w:val="00E414C3"/>
    <w:rsid w:val="00E418AC"/>
    <w:rsid w:val="00E41E51"/>
    <w:rsid w:val="00E42056"/>
    <w:rsid w:val="00E4217A"/>
    <w:rsid w:val="00E42767"/>
    <w:rsid w:val="00E42BE4"/>
    <w:rsid w:val="00E43067"/>
    <w:rsid w:val="00E431AA"/>
    <w:rsid w:val="00E43296"/>
    <w:rsid w:val="00E43F60"/>
    <w:rsid w:val="00E441B7"/>
    <w:rsid w:val="00E441CD"/>
    <w:rsid w:val="00E441D7"/>
    <w:rsid w:val="00E442AC"/>
    <w:rsid w:val="00E44397"/>
    <w:rsid w:val="00E44445"/>
    <w:rsid w:val="00E445E7"/>
    <w:rsid w:val="00E44842"/>
    <w:rsid w:val="00E448A4"/>
    <w:rsid w:val="00E44DA9"/>
    <w:rsid w:val="00E456A0"/>
    <w:rsid w:val="00E45B1E"/>
    <w:rsid w:val="00E46254"/>
    <w:rsid w:val="00E4652C"/>
    <w:rsid w:val="00E46A1D"/>
    <w:rsid w:val="00E46F81"/>
    <w:rsid w:val="00E4704F"/>
    <w:rsid w:val="00E470B0"/>
    <w:rsid w:val="00E474A3"/>
    <w:rsid w:val="00E475D1"/>
    <w:rsid w:val="00E475F6"/>
    <w:rsid w:val="00E47AF2"/>
    <w:rsid w:val="00E47AFD"/>
    <w:rsid w:val="00E47C67"/>
    <w:rsid w:val="00E50267"/>
    <w:rsid w:val="00E503C2"/>
    <w:rsid w:val="00E50938"/>
    <w:rsid w:val="00E50AA8"/>
    <w:rsid w:val="00E51159"/>
    <w:rsid w:val="00E51301"/>
    <w:rsid w:val="00E514BE"/>
    <w:rsid w:val="00E517FD"/>
    <w:rsid w:val="00E51F06"/>
    <w:rsid w:val="00E52038"/>
    <w:rsid w:val="00E52050"/>
    <w:rsid w:val="00E52205"/>
    <w:rsid w:val="00E52439"/>
    <w:rsid w:val="00E525DF"/>
    <w:rsid w:val="00E5260D"/>
    <w:rsid w:val="00E5297B"/>
    <w:rsid w:val="00E52B1E"/>
    <w:rsid w:val="00E52E8F"/>
    <w:rsid w:val="00E52F17"/>
    <w:rsid w:val="00E536F9"/>
    <w:rsid w:val="00E53943"/>
    <w:rsid w:val="00E53D05"/>
    <w:rsid w:val="00E543B1"/>
    <w:rsid w:val="00E548BA"/>
    <w:rsid w:val="00E548BD"/>
    <w:rsid w:val="00E54D89"/>
    <w:rsid w:val="00E54FD5"/>
    <w:rsid w:val="00E55230"/>
    <w:rsid w:val="00E553A6"/>
    <w:rsid w:val="00E55544"/>
    <w:rsid w:val="00E55BDA"/>
    <w:rsid w:val="00E55EC6"/>
    <w:rsid w:val="00E55FE2"/>
    <w:rsid w:val="00E56118"/>
    <w:rsid w:val="00E561EE"/>
    <w:rsid w:val="00E563C2"/>
    <w:rsid w:val="00E56720"/>
    <w:rsid w:val="00E56D2C"/>
    <w:rsid w:val="00E573B6"/>
    <w:rsid w:val="00E5743E"/>
    <w:rsid w:val="00E57690"/>
    <w:rsid w:val="00E5783A"/>
    <w:rsid w:val="00E5785D"/>
    <w:rsid w:val="00E57B82"/>
    <w:rsid w:val="00E57E61"/>
    <w:rsid w:val="00E57E88"/>
    <w:rsid w:val="00E57EFB"/>
    <w:rsid w:val="00E60195"/>
    <w:rsid w:val="00E601E8"/>
    <w:rsid w:val="00E6023B"/>
    <w:rsid w:val="00E602A3"/>
    <w:rsid w:val="00E607F3"/>
    <w:rsid w:val="00E60E19"/>
    <w:rsid w:val="00E60E3E"/>
    <w:rsid w:val="00E60EBC"/>
    <w:rsid w:val="00E60EDE"/>
    <w:rsid w:val="00E610F4"/>
    <w:rsid w:val="00E61231"/>
    <w:rsid w:val="00E616D8"/>
    <w:rsid w:val="00E61984"/>
    <w:rsid w:val="00E61F37"/>
    <w:rsid w:val="00E62088"/>
    <w:rsid w:val="00E6285B"/>
    <w:rsid w:val="00E6303B"/>
    <w:rsid w:val="00E63217"/>
    <w:rsid w:val="00E632B5"/>
    <w:rsid w:val="00E63636"/>
    <w:rsid w:val="00E63909"/>
    <w:rsid w:val="00E64B66"/>
    <w:rsid w:val="00E64EBD"/>
    <w:rsid w:val="00E65236"/>
    <w:rsid w:val="00E65429"/>
    <w:rsid w:val="00E6581E"/>
    <w:rsid w:val="00E6587F"/>
    <w:rsid w:val="00E65B5D"/>
    <w:rsid w:val="00E66377"/>
    <w:rsid w:val="00E66535"/>
    <w:rsid w:val="00E6671B"/>
    <w:rsid w:val="00E66FCE"/>
    <w:rsid w:val="00E6730E"/>
    <w:rsid w:val="00E700B9"/>
    <w:rsid w:val="00E702DA"/>
    <w:rsid w:val="00E70CD3"/>
    <w:rsid w:val="00E719D6"/>
    <w:rsid w:val="00E71BF1"/>
    <w:rsid w:val="00E71ED4"/>
    <w:rsid w:val="00E71FB2"/>
    <w:rsid w:val="00E72004"/>
    <w:rsid w:val="00E721CD"/>
    <w:rsid w:val="00E729F1"/>
    <w:rsid w:val="00E72C64"/>
    <w:rsid w:val="00E73058"/>
    <w:rsid w:val="00E7310D"/>
    <w:rsid w:val="00E74E98"/>
    <w:rsid w:val="00E74F03"/>
    <w:rsid w:val="00E74FDD"/>
    <w:rsid w:val="00E75371"/>
    <w:rsid w:val="00E759A4"/>
    <w:rsid w:val="00E761C2"/>
    <w:rsid w:val="00E762DC"/>
    <w:rsid w:val="00E76884"/>
    <w:rsid w:val="00E76A04"/>
    <w:rsid w:val="00E76AA7"/>
    <w:rsid w:val="00E770F5"/>
    <w:rsid w:val="00E77C74"/>
    <w:rsid w:val="00E77D3A"/>
    <w:rsid w:val="00E80214"/>
    <w:rsid w:val="00E802AF"/>
    <w:rsid w:val="00E80A15"/>
    <w:rsid w:val="00E80AFD"/>
    <w:rsid w:val="00E80BD3"/>
    <w:rsid w:val="00E80D41"/>
    <w:rsid w:val="00E80D97"/>
    <w:rsid w:val="00E80E93"/>
    <w:rsid w:val="00E81002"/>
    <w:rsid w:val="00E8155D"/>
    <w:rsid w:val="00E81819"/>
    <w:rsid w:val="00E81850"/>
    <w:rsid w:val="00E81E15"/>
    <w:rsid w:val="00E81ECF"/>
    <w:rsid w:val="00E821D3"/>
    <w:rsid w:val="00E82499"/>
    <w:rsid w:val="00E824A8"/>
    <w:rsid w:val="00E82790"/>
    <w:rsid w:val="00E83288"/>
    <w:rsid w:val="00E83E9E"/>
    <w:rsid w:val="00E840A4"/>
    <w:rsid w:val="00E84606"/>
    <w:rsid w:val="00E84810"/>
    <w:rsid w:val="00E84867"/>
    <w:rsid w:val="00E84B7B"/>
    <w:rsid w:val="00E84F94"/>
    <w:rsid w:val="00E852BB"/>
    <w:rsid w:val="00E85BF0"/>
    <w:rsid w:val="00E85CED"/>
    <w:rsid w:val="00E863A3"/>
    <w:rsid w:val="00E87C81"/>
    <w:rsid w:val="00E90019"/>
    <w:rsid w:val="00E90107"/>
    <w:rsid w:val="00E901B1"/>
    <w:rsid w:val="00E9040D"/>
    <w:rsid w:val="00E90437"/>
    <w:rsid w:val="00E910C6"/>
    <w:rsid w:val="00E912ED"/>
    <w:rsid w:val="00E913C5"/>
    <w:rsid w:val="00E91D4D"/>
    <w:rsid w:val="00E92305"/>
    <w:rsid w:val="00E928CB"/>
    <w:rsid w:val="00E92E24"/>
    <w:rsid w:val="00E9326E"/>
    <w:rsid w:val="00E933A2"/>
    <w:rsid w:val="00E9359D"/>
    <w:rsid w:val="00E94015"/>
    <w:rsid w:val="00E94526"/>
    <w:rsid w:val="00E949E8"/>
    <w:rsid w:val="00E94E44"/>
    <w:rsid w:val="00E95002"/>
    <w:rsid w:val="00E954B2"/>
    <w:rsid w:val="00E95574"/>
    <w:rsid w:val="00E95742"/>
    <w:rsid w:val="00E95CA2"/>
    <w:rsid w:val="00E962B6"/>
    <w:rsid w:val="00E96475"/>
    <w:rsid w:val="00E96670"/>
    <w:rsid w:val="00E966B5"/>
    <w:rsid w:val="00E9697E"/>
    <w:rsid w:val="00E976D1"/>
    <w:rsid w:val="00E97A3D"/>
    <w:rsid w:val="00EA0038"/>
    <w:rsid w:val="00EA060A"/>
    <w:rsid w:val="00EA06FA"/>
    <w:rsid w:val="00EA0E4B"/>
    <w:rsid w:val="00EA1156"/>
    <w:rsid w:val="00EA1189"/>
    <w:rsid w:val="00EA1335"/>
    <w:rsid w:val="00EA1A2E"/>
    <w:rsid w:val="00EA1CEF"/>
    <w:rsid w:val="00EA205E"/>
    <w:rsid w:val="00EA215D"/>
    <w:rsid w:val="00EA222C"/>
    <w:rsid w:val="00EA295E"/>
    <w:rsid w:val="00EA2A52"/>
    <w:rsid w:val="00EA2E6D"/>
    <w:rsid w:val="00EA2EDA"/>
    <w:rsid w:val="00EA2EF6"/>
    <w:rsid w:val="00EA3126"/>
    <w:rsid w:val="00EA3407"/>
    <w:rsid w:val="00EA37F2"/>
    <w:rsid w:val="00EA3ECB"/>
    <w:rsid w:val="00EA428B"/>
    <w:rsid w:val="00EA42BB"/>
    <w:rsid w:val="00EA43FE"/>
    <w:rsid w:val="00EA44BC"/>
    <w:rsid w:val="00EA489A"/>
    <w:rsid w:val="00EA4D0A"/>
    <w:rsid w:val="00EA4ED6"/>
    <w:rsid w:val="00EA5ACC"/>
    <w:rsid w:val="00EA5B69"/>
    <w:rsid w:val="00EA66A5"/>
    <w:rsid w:val="00EA6768"/>
    <w:rsid w:val="00EA6B93"/>
    <w:rsid w:val="00EA6C4C"/>
    <w:rsid w:val="00EA7028"/>
    <w:rsid w:val="00EA70BB"/>
    <w:rsid w:val="00EA7307"/>
    <w:rsid w:val="00EA7405"/>
    <w:rsid w:val="00EA76C8"/>
    <w:rsid w:val="00EA776B"/>
    <w:rsid w:val="00EA7D21"/>
    <w:rsid w:val="00EB0284"/>
    <w:rsid w:val="00EB0362"/>
    <w:rsid w:val="00EB0558"/>
    <w:rsid w:val="00EB07D4"/>
    <w:rsid w:val="00EB0A02"/>
    <w:rsid w:val="00EB0C87"/>
    <w:rsid w:val="00EB0F5A"/>
    <w:rsid w:val="00EB16FC"/>
    <w:rsid w:val="00EB1BC8"/>
    <w:rsid w:val="00EB1E9C"/>
    <w:rsid w:val="00EB225D"/>
    <w:rsid w:val="00EB22A4"/>
    <w:rsid w:val="00EB242C"/>
    <w:rsid w:val="00EB2EC2"/>
    <w:rsid w:val="00EB31F3"/>
    <w:rsid w:val="00EB34F3"/>
    <w:rsid w:val="00EB37BC"/>
    <w:rsid w:val="00EB3811"/>
    <w:rsid w:val="00EB3DD1"/>
    <w:rsid w:val="00EB446C"/>
    <w:rsid w:val="00EB477F"/>
    <w:rsid w:val="00EB483F"/>
    <w:rsid w:val="00EB52B3"/>
    <w:rsid w:val="00EB55B5"/>
    <w:rsid w:val="00EB5B44"/>
    <w:rsid w:val="00EB5B9C"/>
    <w:rsid w:val="00EB5CFD"/>
    <w:rsid w:val="00EB5F32"/>
    <w:rsid w:val="00EB5F86"/>
    <w:rsid w:val="00EB5FA8"/>
    <w:rsid w:val="00EB6007"/>
    <w:rsid w:val="00EB639B"/>
    <w:rsid w:val="00EB6466"/>
    <w:rsid w:val="00EB6D2E"/>
    <w:rsid w:val="00EB6FB6"/>
    <w:rsid w:val="00EB7160"/>
    <w:rsid w:val="00EB71B4"/>
    <w:rsid w:val="00EB71CA"/>
    <w:rsid w:val="00EB7228"/>
    <w:rsid w:val="00EB72C8"/>
    <w:rsid w:val="00EB7386"/>
    <w:rsid w:val="00EB7734"/>
    <w:rsid w:val="00EB7A9A"/>
    <w:rsid w:val="00EC0322"/>
    <w:rsid w:val="00EC115E"/>
    <w:rsid w:val="00EC14B9"/>
    <w:rsid w:val="00EC20F5"/>
    <w:rsid w:val="00EC2A37"/>
    <w:rsid w:val="00EC2B19"/>
    <w:rsid w:val="00EC2D23"/>
    <w:rsid w:val="00EC31F5"/>
    <w:rsid w:val="00EC32A3"/>
    <w:rsid w:val="00EC36FF"/>
    <w:rsid w:val="00EC3709"/>
    <w:rsid w:val="00EC3D91"/>
    <w:rsid w:val="00EC3FF4"/>
    <w:rsid w:val="00EC429E"/>
    <w:rsid w:val="00EC44F5"/>
    <w:rsid w:val="00EC480E"/>
    <w:rsid w:val="00EC49B3"/>
    <w:rsid w:val="00EC5025"/>
    <w:rsid w:val="00EC5798"/>
    <w:rsid w:val="00EC60DB"/>
    <w:rsid w:val="00EC677E"/>
    <w:rsid w:val="00EC692D"/>
    <w:rsid w:val="00EC696D"/>
    <w:rsid w:val="00EC70A9"/>
    <w:rsid w:val="00EC74DA"/>
    <w:rsid w:val="00EC7BC7"/>
    <w:rsid w:val="00ED009E"/>
    <w:rsid w:val="00ED05C7"/>
    <w:rsid w:val="00ED0BAE"/>
    <w:rsid w:val="00ED1996"/>
    <w:rsid w:val="00ED199A"/>
    <w:rsid w:val="00ED3206"/>
    <w:rsid w:val="00ED3597"/>
    <w:rsid w:val="00ED3642"/>
    <w:rsid w:val="00ED38A6"/>
    <w:rsid w:val="00ED3998"/>
    <w:rsid w:val="00ED3AE2"/>
    <w:rsid w:val="00ED3B88"/>
    <w:rsid w:val="00ED3DE1"/>
    <w:rsid w:val="00ED3F52"/>
    <w:rsid w:val="00ED41AF"/>
    <w:rsid w:val="00ED4704"/>
    <w:rsid w:val="00ED4716"/>
    <w:rsid w:val="00ED4853"/>
    <w:rsid w:val="00ED48EA"/>
    <w:rsid w:val="00ED4C04"/>
    <w:rsid w:val="00ED4DAE"/>
    <w:rsid w:val="00ED5051"/>
    <w:rsid w:val="00ED51E1"/>
    <w:rsid w:val="00ED5583"/>
    <w:rsid w:val="00ED6126"/>
    <w:rsid w:val="00ED6175"/>
    <w:rsid w:val="00ED63C1"/>
    <w:rsid w:val="00ED6771"/>
    <w:rsid w:val="00ED68D9"/>
    <w:rsid w:val="00ED6B9D"/>
    <w:rsid w:val="00ED6C01"/>
    <w:rsid w:val="00ED6CEB"/>
    <w:rsid w:val="00ED718A"/>
    <w:rsid w:val="00ED72FE"/>
    <w:rsid w:val="00ED759B"/>
    <w:rsid w:val="00ED7B93"/>
    <w:rsid w:val="00EE02EB"/>
    <w:rsid w:val="00EE0882"/>
    <w:rsid w:val="00EE08AF"/>
    <w:rsid w:val="00EE0D7A"/>
    <w:rsid w:val="00EE159D"/>
    <w:rsid w:val="00EE16ED"/>
    <w:rsid w:val="00EE1CE1"/>
    <w:rsid w:val="00EE1E3C"/>
    <w:rsid w:val="00EE23C1"/>
    <w:rsid w:val="00EE29B9"/>
    <w:rsid w:val="00EE2CEA"/>
    <w:rsid w:val="00EE3329"/>
    <w:rsid w:val="00EE3EA5"/>
    <w:rsid w:val="00EE3FB0"/>
    <w:rsid w:val="00EE42E3"/>
    <w:rsid w:val="00EE434F"/>
    <w:rsid w:val="00EE4617"/>
    <w:rsid w:val="00EE475E"/>
    <w:rsid w:val="00EE547F"/>
    <w:rsid w:val="00EE54EE"/>
    <w:rsid w:val="00EE55F7"/>
    <w:rsid w:val="00EE583D"/>
    <w:rsid w:val="00EE5B74"/>
    <w:rsid w:val="00EE5F7E"/>
    <w:rsid w:val="00EE602F"/>
    <w:rsid w:val="00EE6050"/>
    <w:rsid w:val="00EE6092"/>
    <w:rsid w:val="00EE63E0"/>
    <w:rsid w:val="00EE64EC"/>
    <w:rsid w:val="00EE662B"/>
    <w:rsid w:val="00EE6AB1"/>
    <w:rsid w:val="00EE6D24"/>
    <w:rsid w:val="00EE75EB"/>
    <w:rsid w:val="00EE764B"/>
    <w:rsid w:val="00EE779E"/>
    <w:rsid w:val="00EE79C9"/>
    <w:rsid w:val="00EE7F54"/>
    <w:rsid w:val="00EF006E"/>
    <w:rsid w:val="00EF014D"/>
    <w:rsid w:val="00EF0291"/>
    <w:rsid w:val="00EF040F"/>
    <w:rsid w:val="00EF07A3"/>
    <w:rsid w:val="00EF123F"/>
    <w:rsid w:val="00EF1A06"/>
    <w:rsid w:val="00EF23CA"/>
    <w:rsid w:val="00EF28E7"/>
    <w:rsid w:val="00EF2F9B"/>
    <w:rsid w:val="00EF2FF7"/>
    <w:rsid w:val="00EF30B9"/>
    <w:rsid w:val="00EF30F1"/>
    <w:rsid w:val="00EF334F"/>
    <w:rsid w:val="00EF37E9"/>
    <w:rsid w:val="00EF389F"/>
    <w:rsid w:val="00EF3D91"/>
    <w:rsid w:val="00EF3DED"/>
    <w:rsid w:val="00EF4255"/>
    <w:rsid w:val="00EF48BA"/>
    <w:rsid w:val="00EF5170"/>
    <w:rsid w:val="00EF51E8"/>
    <w:rsid w:val="00EF59AF"/>
    <w:rsid w:val="00EF5D2B"/>
    <w:rsid w:val="00EF5E16"/>
    <w:rsid w:val="00EF6A13"/>
    <w:rsid w:val="00EF6A87"/>
    <w:rsid w:val="00EF6C38"/>
    <w:rsid w:val="00EF6C6E"/>
    <w:rsid w:val="00EF6EF3"/>
    <w:rsid w:val="00EF6F92"/>
    <w:rsid w:val="00EF714E"/>
    <w:rsid w:val="00EF7230"/>
    <w:rsid w:val="00EF7247"/>
    <w:rsid w:val="00EF72F6"/>
    <w:rsid w:val="00EF739D"/>
    <w:rsid w:val="00EF7415"/>
    <w:rsid w:val="00EF7564"/>
    <w:rsid w:val="00EF78A0"/>
    <w:rsid w:val="00F0034B"/>
    <w:rsid w:val="00F00510"/>
    <w:rsid w:val="00F0052D"/>
    <w:rsid w:val="00F0078E"/>
    <w:rsid w:val="00F00FC4"/>
    <w:rsid w:val="00F00FFB"/>
    <w:rsid w:val="00F0150F"/>
    <w:rsid w:val="00F01C01"/>
    <w:rsid w:val="00F01DF6"/>
    <w:rsid w:val="00F01F2A"/>
    <w:rsid w:val="00F01F73"/>
    <w:rsid w:val="00F02100"/>
    <w:rsid w:val="00F0214D"/>
    <w:rsid w:val="00F021A7"/>
    <w:rsid w:val="00F028A4"/>
    <w:rsid w:val="00F03484"/>
    <w:rsid w:val="00F0386F"/>
    <w:rsid w:val="00F039AB"/>
    <w:rsid w:val="00F03E18"/>
    <w:rsid w:val="00F04938"/>
    <w:rsid w:val="00F04B86"/>
    <w:rsid w:val="00F04BA7"/>
    <w:rsid w:val="00F05008"/>
    <w:rsid w:val="00F0524F"/>
    <w:rsid w:val="00F055FE"/>
    <w:rsid w:val="00F05D94"/>
    <w:rsid w:val="00F0634C"/>
    <w:rsid w:val="00F064AF"/>
    <w:rsid w:val="00F0653A"/>
    <w:rsid w:val="00F06684"/>
    <w:rsid w:val="00F0681D"/>
    <w:rsid w:val="00F06966"/>
    <w:rsid w:val="00F06CDE"/>
    <w:rsid w:val="00F07294"/>
    <w:rsid w:val="00F076E7"/>
    <w:rsid w:val="00F07F7E"/>
    <w:rsid w:val="00F106BA"/>
    <w:rsid w:val="00F107B0"/>
    <w:rsid w:val="00F10AAB"/>
    <w:rsid w:val="00F11846"/>
    <w:rsid w:val="00F11872"/>
    <w:rsid w:val="00F11E6C"/>
    <w:rsid w:val="00F12905"/>
    <w:rsid w:val="00F12990"/>
    <w:rsid w:val="00F129B6"/>
    <w:rsid w:val="00F12FD7"/>
    <w:rsid w:val="00F135A8"/>
    <w:rsid w:val="00F13B62"/>
    <w:rsid w:val="00F13CA8"/>
    <w:rsid w:val="00F13E47"/>
    <w:rsid w:val="00F13FE6"/>
    <w:rsid w:val="00F1445D"/>
    <w:rsid w:val="00F14E2B"/>
    <w:rsid w:val="00F14EFD"/>
    <w:rsid w:val="00F15179"/>
    <w:rsid w:val="00F15223"/>
    <w:rsid w:val="00F15678"/>
    <w:rsid w:val="00F157CF"/>
    <w:rsid w:val="00F158E0"/>
    <w:rsid w:val="00F15B4B"/>
    <w:rsid w:val="00F162E3"/>
    <w:rsid w:val="00F16347"/>
    <w:rsid w:val="00F16891"/>
    <w:rsid w:val="00F168F3"/>
    <w:rsid w:val="00F16B44"/>
    <w:rsid w:val="00F16D4A"/>
    <w:rsid w:val="00F16F85"/>
    <w:rsid w:val="00F17073"/>
    <w:rsid w:val="00F171A1"/>
    <w:rsid w:val="00F176EF"/>
    <w:rsid w:val="00F17759"/>
    <w:rsid w:val="00F179CF"/>
    <w:rsid w:val="00F17CF5"/>
    <w:rsid w:val="00F206DE"/>
    <w:rsid w:val="00F2073A"/>
    <w:rsid w:val="00F20773"/>
    <w:rsid w:val="00F2094B"/>
    <w:rsid w:val="00F20F27"/>
    <w:rsid w:val="00F211EE"/>
    <w:rsid w:val="00F21388"/>
    <w:rsid w:val="00F2138D"/>
    <w:rsid w:val="00F214FD"/>
    <w:rsid w:val="00F21642"/>
    <w:rsid w:val="00F2178E"/>
    <w:rsid w:val="00F21F30"/>
    <w:rsid w:val="00F222EB"/>
    <w:rsid w:val="00F229B5"/>
    <w:rsid w:val="00F22AA4"/>
    <w:rsid w:val="00F22CF9"/>
    <w:rsid w:val="00F23014"/>
    <w:rsid w:val="00F234F9"/>
    <w:rsid w:val="00F23594"/>
    <w:rsid w:val="00F235DB"/>
    <w:rsid w:val="00F23ACA"/>
    <w:rsid w:val="00F24233"/>
    <w:rsid w:val="00F242E0"/>
    <w:rsid w:val="00F2479C"/>
    <w:rsid w:val="00F249CB"/>
    <w:rsid w:val="00F24BEB"/>
    <w:rsid w:val="00F24C58"/>
    <w:rsid w:val="00F24D97"/>
    <w:rsid w:val="00F24E05"/>
    <w:rsid w:val="00F24E7C"/>
    <w:rsid w:val="00F24EED"/>
    <w:rsid w:val="00F25003"/>
    <w:rsid w:val="00F25536"/>
    <w:rsid w:val="00F25634"/>
    <w:rsid w:val="00F25835"/>
    <w:rsid w:val="00F25AE1"/>
    <w:rsid w:val="00F25CD6"/>
    <w:rsid w:val="00F25D6A"/>
    <w:rsid w:val="00F25F1E"/>
    <w:rsid w:val="00F260AE"/>
    <w:rsid w:val="00F26499"/>
    <w:rsid w:val="00F273BB"/>
    <w:rsid w:val="00F2748C"/>
    <w:rsid w:val="00F274B2"/>
    <w:rsid w:val="00F27558"/>
    <w:rsid w:val="00F27698"/>
    <w:rsid w:val="00F2786F"/>
    <w:rsid w:val="00F27CF2"/>
    <w:rsid w:val="00F301EC"/>
    <w:rsid w:val="00F304EF"/>
    <w:rsid w:val="00F3092D"/>
    <w:rsid w:val="00F30A37"/>
    <w:rsid w:val="00F30DE6"/>
    <w:rsid w:val="00F3119A"/>
    <w:rsid w:val="00F31854"/>
    <w:rsid w:val="00F31CA3"/>
    <w:rsid w:val="00F31E00"/>
    <w:rsid w:val="00F3267D"/>
    <w:rsid w:val="00F32780"/>
    <w:rsid w:val="00F3280A"/>
    <w:rsid w:val="00F32B0E"/>
    <w:rsid w:val="00F331B3"/>
    <w:rsid w:val="00F33620"/>
    <w:rsid w:val="00F33826"/>
    <w:rsid w:val="00F3406A"/>
    <w:rsid w:val="00F34772"/>
    <w:rsid w:val="00F34B0C"/>
    <w:rsid w:val="00F34F0D"/>
    <w:rsid w:val="00F352A1"/>
    <w:rsid w:val="00F3653D"/>
    <w:rsid w:val="00F36BD9"/>
    <w:rsid w:val="00F36F35"/>
    <w:rsid w:val="00F370A4"/>
    <w:rsid w:val="00F3741B"/>
    <w:rsid w:val="00F3789F"/>
    <w:rsid w:val="00F3797E"/>
    <w:rsid w:val="00F37FDE"/>
    <w:rsid w:val="00F400DE"/>
    <w:rsid w:val="00F400F4"/>
    <w:rsid w:val="00F40206"/>
    <w:rsid w:val="00F404B5"/>
    <w:rsid w:val="00F40AD7"/>
    <w:rsid w:val="00F40AF2"/>
    <w:rsid w:val="00F40F9C"/>
    <w:rsid w:val="00F40FE9"/>
    <w:rsid w:val="00F4133C"/>
    <w:rsid w:val="00F4134B"/>
    <w:rsid w:val="00F41797"/>
    <w:rsid w:val="00F4193C"/>
    <w:rsid w:val="00F4193F"/>
    <w:rsid w:val="00F41D4A"/>
    <w:rsid w:val="00F41E80"/>
    <w:rsid w:val="00F42142"/>
    <w:rsid w:val="00F42278"/>
    <w:rsid w:val="00F42798"/>
    <w:rsid w:val="00F42B2A"/>
    <w:rsid w:val="00F42B30"/>
    <w:rsid w:val="00F42D29"/>
    <w:rsid w:val="00F43273"/>
    <w:rsid w:val="00F435DA"/>
    <w:rsid w:val="00F43CE0"/>
    <w:rsid w:val="00F43D4A"/>
    <w:rsid w:val="00F441B6"/>
    <w:rsid w:val="00F444B0"/>
    <w:rsid w:val="00F44620"/>
    <w:rsid w:val="00F4478A"/>
    <w:rsid w:val="00F447D4"/>
    <w:rsid w:val="00F44866"/>
    <w:rsid w:val="00F45A03"/>
    <w:rsid w:val="00F45AE6"/>
    <w:rsid w:val="00F45C1A"/>
    <w:rsid w:val="00F4667E"/>
    <w:rsid w:val="00F46D17"/>
    <w:rsid w:val="00F46E8A"/>
    <w:rsid w:val="00F472BC"/>
    <w:rsid w:val="00F476CB"/>
    <w:rsid w:val="00F47C50"/>
    <w:rsid w:val="00F47C83"/>
    <w:rsid w:val="00F50004"/>
    <w:rsid w:val="00F5010D"/>
    <w:rsid w:val="00F503EF"/>
    <w:rsid w:val="00F50BAD"/>
    <w:rsid w:val="00F50C6F"/>
    <w:rsid w:val="00F510B8"/>
    <w:rsid w:val="00F51173"/>
    <w:rsid w:val="00F51DD1"/>
    <w:rsid w:val="00F520B4"/>
    <w:rsid w:val="00F528B8"/>
    <w:rsid w:val="00F52941"/>
    <w:rsid w:val="00F52CB3"/>
    <w:rsid w:val="00F52E7C"/>
    <w:rsid w:val="00F52F66"/>
    <w:rsid w:val="00F53768"/>
    <w:rsid w:val="00F541BD"/>
    <w:rsid w:val="00F5469A"/>
    <w:rsid w:val="00F54828"/>
    <w:rsid w:val="00F54BBA"/>
    <w:rsid w:val="00F54CED"/>
    <w:rsid w:val="00F554E7"/>
    <w:rsid w:val="00F55860"/>
    <w:rsid w:val="00F559E3"/>
    <w:rsid w:val="00F55A30"/>
    <w:rsid w:val="00F55E69"/>
    <w:rsid w:val="00F563FC"/>
    <w:rsid w:val="00F56431"/>
    <w:rsid w:val="00F56619"/>
    <w:rsid w:val="00F567AA"/>
    <w:rsid w:val="00F56BB0"/>
    <w:rsid w:val="00F56ED2"/>
    <w:rsid w:val="00F56F62"/>
    <w:rsid w:val="00F574C2"/>
    <w:rsid w:val="00F57ABA"/>
    <w:rsid w:val="00F57ADD"/>
    <w:rsid w:val="00F57D0F"/>
    <w:rsid w:val="00F57DA1"/>
    <w:rsid w:val="00F600F1"/>
    <w:rsid w:val="00F6091A"/>
    <w:rsid w:val="00F60B6A"/>
    <w:rsid w:val="00F60F51"/>
    <w:rsid w:val="00F60F89"/>
    <w:rsid w:val="00F6103F"/>
    <w:rsid w:val="00F612FB"/>
    <w:rsid w:val="00F62B79"/>
    <w:rsid w:val="00F62DB3"/>
    <w:rsid w:val="00F634FC"/>
    <w:rsid w:val="00F63741"/>
    <w:rsid w:val="00F63BF3"/>
    <w:rsid w:val="00F642E8"/>
    <w:rsid w:val="00F646A6"/>
    <w:rsid w:val="00F64A0C"/>
    <w:rsid w:val="00F64B72"/>
    <w:rsid w:val="00F652C0"/>
    <w:rsid w:val="00F65740"/>
    <w:rsid w:val="00F659D4"/>
    <w:rsid w:val="00F65DF4"/>
    <w:rsid w:val="00F660E8"/>
    <w:rsid w:val="00F6611C"/>
    <w:rsid w:val="00F66557"/>
    <w:rsid w:val="00F6682A"/>
    <w:rsid w:val="00F66B7E"/>
    <w:rsid w:val="00F66BB0"/>
    <w:rsid w:val="00F66C7F"/>
    <w:rsid w:val="00F66F07"/>
    <w:rsid w:val="00F67107"/>
    <w:rsid w:val="00F67246"/>
    <w:rsid w:val="00F67437"/>
    <w:rsid w:val="00F674C7"/>
    <w:rsid w:val="00F6751F"/>
    <w:rsid w:val="00F67DAF"/>
    <w:rsid w:val="00F70370"/>
    <w:rsid w:val="00F70808"/>
    <w:rsid w:val="00F70ABE"/>
    <w:rsid w:val="00F70D3E"/>
    <w:rsid w:val="00F7121F"/>
    <w:rsid w:val="00F71471"/>
    <w:rsid w:val="00F7182D"/>
    <w:rsid w:val="00F71A33"/>
    <w:rsid w:val="00F71D39"/>
    <w:rsid w:val="00F71E1A"/>
    <w:rsid w:val="00F72F62"/>
    <w:rsid w:val="00F7340E"/>
    <w:rsid w:val="00F73640"/>
    <w:rsid w:val="00F73661"/>
    <w:rsid w:val="00F736A8"/>
    <w:rsid w:val="00F73BAB"/>
    <w:rsid w:val="00F73D8B"/>
    <w:rsid w:val="00F73DEA"/>
    <w:rsid w:val="00F73E10"/>
    <w:rsid w:val="00F74F60"/>
    <w:rsid w:val="00F75195"/>
    <w:rsid w:val="00F759BC"/>
    <w:rsid w:val="00F75BCA"/>
    <w:rsid w:val="00F76081"/>
    <w:rsid w:val="00F761B0"/>
    <w:rsid w:val="00F77095"/>
    <w:rsid w:val="00F770E3"/>
    <w:rsid w:val="00F775B0"/>
    <w:rsid w:val="00F7765F"/>
    <w:rsid w:val="00F77B68"/>
    <w:rsid w:val="00F77B8F"/>
    <w:rsid w:val="00F802F1"/>
    <w:rsid w:val="00F803A3"/>
    <w:rsid w:val="00F8086A"/>
    <w:rsid w:val="00F80C55"/>
    <w:rsid w:val="00F80CBC"/>
    <w:rsid w:val="00F80D2A"/>
    <w:rsid w:val="00F8111B"/>
    <w:rsid w:val="00F8152C"/>
    <w:rsid w:val="00F8163B"/>
    <w:rsid w:val="00F81753"/>
    <w:rsid w:val="00F81B52"/>
    <w:rsid w:val="00F81C8A"/>
    <w:rsid w:val="00F81DCC"/>
    <w:rsid w:val="00F81DDD"/>
    <w:rsid w:val="00F82E6D"/>
    <w:rsid w:val="00F830A8"/>
    <w:rsid w:val="00F8315A"/>
    <w:rsid w:val="00F833FB"/>
    <w:rsid w:val="00F83667"/>
    <w:rsid w:val="00F8386B"/>
    <w:rsid w:val="00F83C1E"/>
    <w:rsid w:val="00F83E97"/>
    <w:rsid w:val="00F8433B"/>
    <w:rsid w:val="00F849A3"/>
    <w:rsid w:val="00F84BD9"/>
    <w:rsid w:val="00F8501A"/>
    <w:rsid w:val="00F85391"/>
    <w:rsid w:val="00F85AB1"/>
    <w:rsid w:val="00F863ED"/>
    <w:rsid w:val="00F86496"/>
    <w:rsid w:val="00F8653A"/>
    <w:rsid w:val="00F86723"/>
    <w:rsid w:val="00F86CA1"/>
    <w:rsid w:val="00F87184"/>
    <w:rsid w:val="00F87344"/>
    <w:rsid w:val="00F87F22"/>
    <w:rsid w:val="00F87F74"/>
    <w:rsid w:val="00F900FB"/>
    <w:rsid w:val="00F9027A"/>
    <w:rsid w:val="00F90303"/>
    <w:rsid w:val="00F9053A"/>
    <w:rsid w:val="00F906BC"/>
    <w:rsid w:val="00F9097D"/>
    <w:rsid w:val="00F90AD5"/>
    <w:rsid w:val="00F90C97"/>
    <w:rsid w:val="00F90F6E"/>
    <w:rsid w:val="00F910B5"/>
    <w:rsid w:val="00F911A9"/>
    <w:rsid w:val="00F91A65"/>
    <w:rsid w:val="00F91B86"/>
    <w:rsid w:val="00F91CB7"/>
    <w:rsid w:val="00F91CEB"/>
    <w:rsid w:val="00F92076"/>
    <w:rsid w:val="00F9280E"/>
    <w:rsid w:val="00F92967"/>
    <w:rsid w:val="00F92A51"/>
    <w:rsid w:val="00F92BEF"/>
    <w:rsid w:val="00F92EFA"/>
    <w:rsid w:val="00F93083"/>
    <w:rsid w:val="00F93E22"/>
    <w:rsid w:val="00F94059"/>
    <w:rsid w:val="00F94371"/>
    <w:rsid w:val="00F9440B"/>
    <w:rsid w:val="00F94DB1"/>
    <w:rsid w:val="00F95166"/>
    <w:rsid w:val="00F956ED"/>
    <w:rsid w:val="00F95879"/>
    <w:rsid w:val="00F95976"/>
    <w:rsid w:val="00F95DB6"/>
    <w:rsid w:val="00F96073"/>
    <w:rsid w:val="00F960CD"/>
    <w:rsid w:val="00F964F2"/>
    <w:rsid w:val="00F9657D"/>
    <w:rsid w:val="00F96BFE"/>
    <w:rsid w:val="00F96E5E"/>
    <w:rsid w:val="00F9717B"/>
    <w:rsid w:val="00F97433"/>
    <w:rsid w:val="00F9762D"/>
    <w:rsid w:val="00F978D9"/>
    <w:rsid w:val="00F97DB1"/>
    <w:rsid w:val="00F97F0F"/>
    <w:rsid w:val="00F97FBE"/>
    <w:rsid w:val="00FA004C"/>
    <w:rsid w:val="00FA05EC"/>
    <w:rsid w:val="00FA08C3"/>
    <w:rsid w:val="00FA0D58"/>
    <w:rsid w:val="00FA0D63"/>
    <w:rsid w:val="00FA18A8"/>
    <w:rsid w:val="00FA1A19"/>
    <w:rsid w:val="00FA24BE"/>
    <w:rsid w:val="00FA2EBC"/>
    <w:rsid w:val="00FA3783"/>
    <w:rsid w:val="00FA3CA1"/>
    <w:rsid w:val="00FA3E69"/>
    <w:rsid w:val="00FA43FD"/>
    <w:rsid w:val="00FA4684"/>
    <w:rsid w:val="00FA469B"/>
    <w:rsid w:val="00FA4B89"/>
    <w:rsid w:val="00FA4E9C"/>
    <w:rsid w:val="00FA4EF8"/>
    <w:rsid w:val="00FA556D"/>
    <w:rsid w:val="00FA57B8"/>
    <w:rsid w:val="00FA57C5"/>
    <w:rsid w:val="00FA66D0"/>
    <w:rsid w:val="00FA6CCC"/>
    <w:rsid w:val="00FA76AF"/>
    <w:rsid w:val="00FA79A8"/>
    <w:rsid w:val="00FA7B8B"/>
    <w:rsid w:val="00FA7D44"/>
    <w:rsid w:val="00FA7EC4"/>
    <w:rsid w:val="00FB098C"/>
    <w:rsid w:val="00FB0C83"/>
    <w:rsid w:val="00FB136B"/>
    <w:rsid w:val="00FB1737"/>
    <w:rsid w:val="00FB1C56"/>
    <w:rsid w:val="00FB25DF"/>
    <w:rsid w:val="00FB2928"/>
    <w:rsid w:val="00FB2957"/>
    <w:rsid w:val="00FB2DEE"/>
    <w:rsid w:val="00FB35A2"/>
    <w:rsid w:val="00FB3743"/>
    <w:rsid w:val="00FB38BB"/>
    <w:rsid w:val="00FB3B0E"/>
    <w:rsid w:val="00FB417B"/>
    <w:rsid w:val="00FB41E6"/>
    <w:rsid w:val="00FB436F"/>
    <w:rsid w:val="00FB49CC"/>
    <w:rsid w:val="00FB4A76"/>
    <w:rsid w:val="00FB4A78"/>
    <w:rsid w:val="00FB56B0"/>
    <w:rsid w:val="00FB5AA4"/>
    <w:rsid w:val="00FB5CFC"/>
    <w:rsid w:val="00FB5DB3"/>
    <w:rsid w:val="00FB60A7"/>
    <w:rsid w:val="00FB6110"/>
    <w:rsid w:val="00FB6221"/>
    <w:rsid w:val="00FB6790"/>
    <w:rsid w:val="00FB69F1"/>
    <w:rsid w:val="00FB6AE9"/>
    <w:rsid w:val="00FB6C1A"/>
    <w:rsid w:val="00FB6EF2"/>
    <w:rsid w:val="00FB74AD"/>
    <w:rsid w:val="00FB7588"/>
    <w:rsid w:val="00FB7CBD"/>
    <w:rsid w:val="00FB7E59"/>
    <w:rsid w:val="00FB7EBC"/>
    <w:rsid w:val="00FB7F89"/>
    <w:rsid w:val="00FC01C5"/>
    <w:rsid w:val="00FC07F5"/>
    <w:rsid w:val="00FC0FC9"/>
    <w:rsid w:val="00FC13BD"/>
    <w:rsid w:val="00FC194E"/>
    <w:rsid w:val="00FC196A"/>
    <w:rsid w:val="00FC19BD"/>
    <w:rsid w:val="00FC24F8"/>
    <w:rsid w:val="00FC2A8A"/>
    <w:rsid w:val="00FC2DD0"/>
    <w:rsid w:val="00FC327C"/>
    <w:rsid w:val="00FC3893"/>
    <w:rsid w:val="00FC3E54"/>
    <w:rsid w:val="00FC3E8B"/>
    <w:rsid w:val="00FC3F4E"/>
    <w:rsid w:val="00FC45D0"/>
    <w:rsid w:val="00FC4BD9"/>
    <w:rsid w:val="00FC57E1"/>
    <w:rsid w:val="00FC5992"/>
    <w:rsid w:val="00FC59E9"/>
    <w:rsid w:val="00FC64AA"/>
    <w:rsid w:val="00FC667D"/>
    <w:rsid w:val="00FC683E"/>
    <w:rsid w:val="00FC6957"/>
    <w:rsid w:val="00FC6F94"/>
    <w:rsid w:val="00FC7EC2"/>
    <w:rsid w:val="00FD00C6"/>
    <w:rsid w:val="00FD01A9"/>
    <w:rsid w:val="00FD01CA"/>
    <w:rsid w:val="00FD0430"/>
    <w:rsid w:val="00FD0506"/>
    <w:rsid w:val="00FD061A"/>
    <w:rsid w:val="00FD06B4"/>
    <w:rsid w:val="00FD06C5"/>
    <w:rsid w:val="00FD0960"/>
    <w:rsid w:val="00FD1300"/>
    <w:rsid w:val="00FD1338"/>
    <w:rsid w:val="00FD13E8"/>
    <w:rsid w:val="00FD1421"/>
    <w:rsid w:val="00FD1700"/>
    <w:rsid w:val="00FD2136"/>
    <w:rsid w:val="00FD266A"/>
    <w:rsid w:val="00FD27B9"/>
    <w:rsid w:val="00FD2B47"/>
    <w:rsid w:val="00FD2B8F"/>
    <w:rsid w:val="00FD2C63"/>
    <w:rsid w:val="00FD38A4"/>
    <w:rsid w:val="00FD3CC0"/>
    <w:rsid w:val="00FD3DFB"/>
    <w:rsid w:val="00FD41BF"/>
    <w:rsid w:val="00FD42C0"/>
    <w:rsid w:val="00FD43CA"/>
    <w:rsid w:val="00FD484E"/>
    <w:rsid w:val="00FD4BAE"/>
    <w:rsid w:val="00FD4C65"/>
    <w:rsid w:val="00FD4CF4"/>
    <w:rsid w:val="00FD4E33"/>
    <w:rsid w:val="00FD539A"/>
    <w:rsid w:val="00FD56E1"/>
    <w:rsid w:val="00FD5B59"/>
    <w:rsid w:val="00FD6029"/>
    <w:rsid w:val="00FD66AE"/>
    <w:rsid w:val="00FD6EE9"/>
    <w:rsid w:val="00FD7AB1"/>
    <w:rsid w:val="00FD7D5C"/>
    <w:rsid w:val="00FE03B1"/>
    <w:rsid w:val="00FE0467"/>
    <w:rsid w:val="00FE09E5"/>
    <w:rsid w:val="00FE0A05"/>
    <w:rsid w:val="00FE11CC"/>
    <w:rsid w:val="00FE11D7"/>
    <w:rsid w:val="00FE2409"/>
    <w:rsid w:val="00FE2567"/>
    <w:rsid w:val="00FE26B2"/>
    <w:rsid w:val="00FE2A3B"/>
    <w:rsid w:val="00FE2A78"/>
    <w:rsid w:val="00FE2CC8"/>
    <w:rsid w:val="00FE2D7E"/>
    <w:rsid w:val="00FE3156"/>
    <w:rsid w:val="00FE369D"/>
    <w:rsid w:val="00FE40A3"/>
    <w:rsid w:val="00FE422D"/>
    <w:rsid w:val="00FE42E5"/>
    <w:rsid w:val="00FE46A0"/>
    <w:rsid w:val="00FE4A9F"/>
    <w:rsid w:val="00FE4DBC"/>
    <w:rsid w:val="00FE56E8"/>
    <w:rsid w:val="00FE590F"/>
    <w:rsid w:val="00FE6032"/>
    <w:rsid w:val="00FE6221"/>
    <w:rsid w:val="00FE62CE"/>
    <w:rsid w:val="00FE6642"/>
    <w:rsid w:val="00FE68F1"/>
    <w:rsid w:val="00FE69C0"/>
    <w:rsid w:val="00FE709F"/>
    <w:rsid w:val="00FE75E8"/>
    <w:rsid w:val="00FE78DA"/>
    <w:rsid w:val="00FE79E3"/>
    <w:rsid w:val="00FE7D45"/>
    <w:rsid w:val="00FE7D95"/>
    <w:rsid w:val="00FE7E85"/>
    <w:rsid w:val="00FE7F3E"/>
    <w:rsid w:val="00FE7FA3"/>
    <w:rsid w:val="00FF071A"/>
    <w:rsid w:val="00FF083D"/>
    <w:rsid w:val="00FF099D"/>
    <w:rsid w:val="00FF09C2"/>
    <w:rsid w:val="00FF0F2E"/>
    <w:rsid w:val="00FF1020"/>
    <w:rsid w:val="00FF118E"/>
    <w:rsid w:val="00FF1CBC"/>
    <w:rsid w:val="00FF1CF9"/>
    <w:rsid w:val="00FF1D60"/>
    <w:rsid w:val="00FF1DBB"/>
    <w:rsid w:val="00FF1EAB"/>
    <w:rsid w:val="00FF1FF5"/>
    <w:rsid w:val="00FF2966"/>
    <w:rsid w:val="00FF297A"/>
    <w:rsid w:val="00FF2BFB"/>
    <w:rsid w:val="00FF2CAB"/>
    <w:rsid w:val="00FF2F68"/>
    <w:rsid w:val="00FF34C8"/>
    <w:rsid w:val="00FF3676"/>
    <w:rsid w:val="00FF36A6"/>
    <w:rsid w:val="00FF3864"/>
    <w:rsid w:val="00FF3F29"/>
    <w:rsid w:val="00FF424D"/>
    <w:rsid w:val="00FF45A5"/>
    <w:rsid w:val="00FF4F3F"/>
    <w:rsid w:val="00FF4F9E"/>
    <w:rsid w:val="00FF5524"/>
    <w:rsid w:val="00FF570D"/>
    <w:rsid w:val="00FF6572"/>
    <w:rsid w:val="00FF6D8A"/>
    <w:rsid w:val="00FF772F"/>
    <w:rsid w:val="00FF7DAF"/>
    <w:rsid w:val="02021C0E"/>
    <w:rsid w:val="02A22E30"/>
    <w:rsid w:val="02C021E0"/>
    <w:rsid w:val="031F366B"/>
    <w:rsid w:val="03773117"/>
    <w:rsid w:val="03901A09"/>
    <w:rsid w:val="03910908"/>
    <w:rsid w:val="03A01ECE"/>
    <w:rsid w:val="03C3E5EC"/>
    <w:rsid w:val="049CD288"/>
    <w:rsid w:val="04DAD90B"/>
    <w:rsid w:val="056410F0"/>
    <w:rsid w:val="0566A307"/>
    <w:rsid w:val="0595931F"/>
    <w:rsid w:val="061D199F"/>
    <w:rsid w:val="062E0F1B"/>
    <w:rsid w:val="06AF8F88"/>
    <w:rsid w:val="06D31FEA"/>
    <w:rsid w:val="06DE99FA"/>
    <w:rsid w:val="07874EF7"/>
    <w:rsid w:val="0806CDA1"/>
    <w:rsid w:val="084AE5B9"/>
    <w:rsid w:val="08728D37"/>
    <w:rsid w:val="0880853C"/>
    <w:rsid w:val="08CB66CE"/>
    <w:rsid w:val="08F3A028"/>
    <w:rsid w:val="093A7634"/>
    <w:rsid w:val="0946F322"/>
    <w:rsid w:val="0969EAB7"/>
    <w:rsid w:val="0970B293"/>
    <w:rsid w:val="09BB938E"/>
    <w:rsid w:val="0A0D2DF3"/>
    <w:rsid w:val="0A103942"/>
    <w:rsid w:val="0A274E28"/>
    <w:rsid w:val="0A870B28"/>
    <w:rsid w:val="0AB23AB6"/>
    <w:rsid w:val="0AE230F9"/>
    <w:rsid w:val="0B0C215A"/>
    <w:rsid w:val="0B34C469"/>
    <w:rsid w:val="0B3BBD3D"/>
    <w:rsid w:val="0BB13C58"/>
    <w:rsid w:val="0BD47F21"/>
    <w:rsid w:val="0C085B02"/>
    <w:rsid w:val="0C6B3FAB"/>
    <w:rsid w:val="0C6E4CBC"/>
    <w:rsid w:val="0D09CCF7"/>
    <w:rsid w:val="0D1CD039"/>
    <w:rsid w:val="0D4CBC3B"/>
    <w:rsid w:val="0D848790"/>
    <w:rsid w:val="0DFEB1FF"/>
    <w:rsid w:val="0E000A3E"/>
    <w:rsid w:val="0E043EEA"/>
    <w:rsid w:val="0E230E8E"/>
    <w:rsid w:val="0E328F61"/>
    <w:rsid w:val="0E3891A8"/>
    <w:rsid w:val="0E5995A0"/>
    <w:rsid w:val="0E707D17"/>
    <w:rsid w:val="0EE09F16"/>
    <w:rsid w:val="0EFECE13"/>
    <w:rsid w:val="0F420AB3"/>
    <w:rsid w:val="0FA8A1E9"/>
    <w:rsid w:val="0FC1CA46"/>
    <w:rsid w:val="0FD3469E"/>
    <w:rsid w:val="0FF71A06"/>
    <w:rsid w:val="1009CEA6"/>
    <w:rsid w:val="101F825E"/>
    <w:rsid w:val="105FF1F0"/>
    <w:rsid w:val="10B61656"/>
    <w:rsid w:val="10F4D200"/>
    <w:rsid w:val="10FB827A"/>
    <w:rsid w:val="110D3414"/>
    <w:rsid w:val="11189E06"/>
    <w:rsid w:val="111D9BE6"/>
    <w:rsid w:val="11944914"/>
    <w:rsid w:val="11B5BEF5"/>
    <w:rsid w:val="120B9C62"/>
    <w:rsid w:val="124F6924"/>
    <w:rsid w:val="127A36D4"/>
    <w:rsid w:val="12F1E324"/>
    <w:rsid w:val="134B13DF"/>
    <w:rsid w:val="134CDA47"/>
    <w:rsid w:val="13895C27"/>
    <w:rsid w:val="142DCC2B"/>
    <w:rsid w:val="14C6B26D"/>
    <w:rsid w:val="14CAE838"/>
    <w:rsid w:val="14E2FD07"/>
    <w:rsid w:val="156E3253"/>
    <w:rsid w:val="15772B12"/>
    <w:rsid w:val="15A74150"/>
    <w:rsid w:val="15DF9F61"/>
    <w:rsid w:val="16154AFF"/>
    <w:rsid w:val="1705BE92"/>
    <w:rsid w:val="171AE646"/>
    <w:rsid w:val="17317898"/>
    <w:rsid w:val="17D97E20"/>
    <w:rsid w:val="180E877C"/>
    <w:rsid w:val="184CCEF5"/>
    <w:rsid w:val="184D4420"/>
    <w:rsid w:val="1880BAAC"/>
    <w:rsid w:val="18C41F89"/>
    <w:rsid w:val="1901352B"/>
    <w:rsid w:val="196E2DE5"/>
    <w:rsid w:val="19E0954A"/>
    <w:rsid w:val="1A070707"/>
    <w:rsid w:val="1A2B3F43"/>
    <w:rsid w:val="1A84197E"/>
    <w:rsid w:val="1AF108EC"/>
    <w:rsid w:val="1B909A83"/>
    <w:rsid w:val="1BB17B02"/>
    <w:rsid w:val="1BDE4D3A"/>
    <w:rsid w:val="1BED8B0B"/>
    <w:rsid w:val="1D524B18"/>
    <w:rsid w:val="1D62E005"/>
    <w:rsid w:val="1D7A6AA8"/>
    <w:rsid w:val="1D981EB5"/>
    <w:rsid w:val="1E186D3A"/>
    <w:rsid w:val="1E6E91B2"/>
    <w:rsid w:val="1E968A21"/>
    <w:rsid w:val="1F79A3E5"/>
    <w:rsid w:val="1F9C2A41"/>
    <w:rsid w:val="1FADBDAD"/>
    <w:rsid w:val="2062F962"/>
    <w:rsid w:val="209A80C7"/>
    <w:rsid w:val="20A77B8D"/>
    <w:rsid w:val="20AE90DF"/>
    <w:rsid w:val="20F2DC77"/>
    <w:rsid w:val="2167AD9E"/>
    <w:rsid w:val="219A3273"/>
    <w:rsid w:val="21A2F19A"/>
    <w:rsid w:val="22957224"/>
    <w:rsid w:val="22A2928F"/>
    <w:rsid w:val="22C8E0F9"/>
    <w:rsid w:val="23037E82"/>
    <w:rsid w:val="231056C9"/>
    <w:rsid w:val="232B789A"/>
    <w:rsid w:val="234ECDE2"/>
    <w:rsid w:val="237DC374"/>
    <w:rsid w:val="23A9E6D1"/>
    <w:rsid w:val="23ACBA5D"/>
    <w:rsid w:val="2436DB0C"/>
    <w:rsid w:val="243E4B2E"/>
    <w:rsid w:val="244647F4"/>
    <w:rsid w:val="24586A0B"/>
    <w:rsid w:val="247CDA54"/>
    <w:rsid w:val="24FDB660"/>
    <w:rsid w:val="25492982"/>
    <w:rsid w:val="254D69B2"/>
    <w:rsid w:val="257B3C29"/>
    <w:rsid w:val="25E8D2B2"/>
    <w:rsid w:val="2603A13E"/>
    <w:rsid w:val="260A96C4"/>
    <w:rsid w:val="260B02B3"/>
    <w:rsid w:val="26335F2C"/>
    <w:rsid w:val="263B0321"/>
    <w:rsid w:val="26A6876D"/>
    <w:rsid w:val="26E757C3"/>
    <w:rsid w:val="26EB0899"/>
    <w:rsid w:val="26F887A7"/>
    <w:rsid w:val="27152743"/>
    <w:rsid w:val="27243462"/>
    <w:rsid w:val="27BA00F2"/>
    <w:rsid w:val="280FCF70"/>
    <w:rsid w:val="281356C9"/>
    <w:rsid w:val="2814F5A5"/>
    <w:rsid w:val="286B3A52"/>
    <w:rsid w:val="2882C37D"/>
    <w:rsid w:val="28B9D6DB"/>
    <w:rsid w:val="28E95AAB"/>
    <w:rsid w:val="29409D74"/>
    <w:rsid w:val="298E99A6"/>
    <w:rsid w:val="29A13E36"/>
    <w:rsid w:val="29A1509C"/>
    <w:rsid w:val="29B655AC"/>
    <w:rsid w:val="29CF7D0E"/>
    <w:rsid w:val="29DBF0F6"/>
    <w:rsid w:val="29F45B34"/>
    <w:rsid w:val="2A0163CF"/>
    <w:rsid w:val="2A3DA9D0"/>
    <w:rsid w:val="2A5E0A67"/>
    <w:rsid w:val="2A77FB6E"/>
    <w:rsid w:val="2AA4EB08"/>
    <w:rsid w:val="2ABDA738"/>
    <w:rsid w:val="2B1BFDA3"/>
    <w:rsid w:val="2B55EE63"/>
    <w:rsid w:val="2B6AB5F7"/>
    <w:rsid w:val="2BBB9580"/>
    <w:rsid w:val="2C1A5960"/>
    <w:rsid w:val="2C2576AE"/>
    <w:rsid w:val="2C3C22BE"/>
    <w:rsid w:val="2C3D9E15"/>
    <w:rsid w:val="2CE279C7"/>
    <w:rsid w:val="2D2B974F"/>
    <w:rsid w:val="2D305CAC"/>
    <w:rsid w:val="2D5B8A29"/>
    <w:rsid w:val="2D60666E"/>
    <w:rsid w:val="2D794403"/>
    <w:rsid w:val="2D8153F3"/>
    <w:rsid w:val="2D909F80"/>
    <w:rsid w:val="2DE8033A"/>
    <w:rsid w:val="2E0ABAD4"/>
    <w:rsid w:val="2E94F56E"/>
    <w:rsid w:val="2F0DA970"/>
    <w:rsid w:val="2F6C4DF0"/>
    <w:rsid w:val="2FA158A6"/>
    <w:rsid w:val="301D2350"/>
    <w:rsid w:val="308367C4"/>
    <w:rsid w:val="3091CCF0"/>
    <w:rsid w:val="31549D24"/>
    <w:rsid w:val="3164EB30"/>
    <w:rsid w:val="318B3F27"/>
    <w:rsid w:val="31951D8C"/>
    <w:rsid w:val="319B0767"/>
    <w:rsid w:val="31A502CD"/>
    <w:rsid w:val="31E27C79"/>
    <w:rsid w:val="324592F8"/>
    <w:rsid w:val="32BA5521"/>
    <w:rsid w:val="32CB5270"/>
    <w:rsid w:val="330DE72B"/>
    <w:rsid w:val="33C5AB46"/>
    <w:rsid w:val="33D124A1"/>
    <w:rsid w:val="33E4D2A1"/>
    <w:rsid w:val="3403B1C9"/>
    <w:rsid w:val="3412ABC9"/>
    <w:rsid w:val="34167AF1"/>
    <w:rsid w:val="341F69DC"/>
    <w:rsid w:val="3443B08A"/>
    <w:rsid w:val="34AA3533"/>
    <w:rsid w:val="34C2DFE9"/>
    <w:rsid w:val="34E0DF9B"/>
    <w:rsid w:val="3508D150"/>
    <w:rsid w:val="354EA2A1"/>
    <w:rsid w:val="35D0D5CA"/>
    <w:rsid w:val="35E3E733"/>
    <w:rsid w:val="36019C8A"/>
    <w:rsid w:val="361AEF36"/>
    <w:rsid w:val="3639E096"/>
    <w:rsid w:val="364F3046"/>
    <w:rsid w:val="37079673"/>
    <w:rsid w:val="37A12A1E"/>
    <w:rsid w:val="3806AB38"/>
    <w:rsid w:val="381F81B1"/>
    <w:rsid w:val="382F8A25"/>
    <w:rsid w:val="389D582C"/>
    <w:rsid w:val="392CF54D"/>
    <w:rsid w:val="397450A5"/>
    <w:rsid w:val="39913C92"/>
    <w:rsid w:val="3A6B43BA"/>
    <w:rsid w:val="3A8B055D"/>
    <w:rsid w:val="3AF615E1"/>
    <w:rsid w:val="3B6FB666"/>
    <w:rsid w:val="3BBED7E3"/>
    <w:rsid w:val="3C197F18"/>
    <w:rsid w:val="3C2F2A9E"/>
    <w:rsid w:val="3CA77039"/>
    <w:rsid w:val="3CC5AF0E"/>
    <w:rsid w:val="3E28D8D3"/>
    <w:rsid w:val="3E3DF17D"/>
    <w:rsid w:val="3ECB0DC7"/>
    <w:rsid w:val="3ECD8EE7"/>
    <w:rsid w:val="3FC0E5DE"/>
    <w:rsid w:val="3FD894C6"/>
    <w:rsid w:val="3FDE3326"/>
    <w:rsid w:val="4017417B"/>
    <w:rsid w:val="405A82E1"/>
    <w:rsid w:val="406AFDE7"/>
    <w:rsid w:val="4074458F"/>
    <w:rsid w:val="40DADEC3"/>
    <w:rsid w:val="41E9A631"/>
    <w:rsid w:val="42011795"/>
    <w:rsid w:val="4228CF8B"/>
    <w:rsid w:val="42F3C2D4"/>
    <w:rsid w:val="431CF725"/>
    <w:rsid w:val="436CD3D1"/>
    <w:rsid w:val="4411A980"/>
    <w:rsid w:val="453E8ACB"/>
    <w:rsid w:val="45599B1C"/>
    <w:rsid w:val="455C0F97"/>
    <w:rsid w:val="459DC4D8"/>
    <w:rsid w:val="45CDB944"/>
    <w:rsid w:val="45D9B780"/>
    <w:rsid w:val="46719303"/>
    <w:rsid w:val="469CB604"/>
    <w:rsid w:val="46A0E3E9"/>
    <w:rsid w:val="46B95BBF"/>
    <w:rsid w:val="46EB57D9"/>
    <w:rsid w:val="470C106B"/>
    <w:rsid w:val="472A5672"/>
    <w:rsid w:val="47629598"/>
    <w:rsid w:val="479A8EFF"/>
    <w:rsid w:val="47D86EDB"/>
    <w:rsid w:val="47E24F5F"/>
    <w:rsid w:val="4809C27B"/>
    <w:rsid w:val="486482E7"/>
    <w:rsid w:val="486536D5"/>
    <w:rsid w:val="48BA02D8"/>
    <w:rsid w:val="4901878C"/>
    <w:rsid w:val="49443ED5"/>
    <w:rsid w:val="49634254"/>
    <w:rsid w:val="49AED9E8"/>
    <w:rsid w:val="49B3500A"/>
    <w:rsid w:val="49D3BF4E"/>
    <w:rsid w:val="49FF8DE0"/>
    <w:rsid w:val="4A31BE95"/>
    <w:rsid w:val="4AAAE3B1"/>
    <w:rsid w:val="4ABE21EB"/>
    <w:rsid w:val="4B02C63D"/>
    <w:rsid w:val="4B22BB89"/>
    <w:rsid w:val="4B4D342D"/>
    <w:rsid w:val="4B68A68F"/>
    <w:rsid w:val="4BA1C5F2"/>
    <w:rsid w:val="4BE2BCF8"/>
    <w:rsid w:val="4CA7B219"/>
    <w:rsid w:val="4CDEAB15"/>
    <w:rsid w:val="4D12C572"/>
    <w:rsid w:val="4D219315"/>
    <w:rsid w:val="4D6079C4"/>
    <w:rsid w:val="4DB47AEF"/>
    <w:rsid w:val="4DC328E9"/>
    <w:rsid w:val="4DFDC9EF"/>
    <w:rsid w:val="4EFE655F"/>
    <w:rsid w:val="4F07C68E"/>
    <w:rsid w:val="4F388E08"/>
    <w:rsid w:val="4F633B79"/>
    <w:rsid w:val="4FA94D2E"/>
    <w:rsid w:val="4FC289C1"/>
    <w:rsid w:val="4FED67D6"/>
    <w:rsid w:val="4FF32ABB"/>
    <w:rsid w:val="5019F23A"/>
    <w:rsid w:val="50BDDEE8"/>
    <w:rsid w:val="50E6BEB6"/>
    <w:rsid w:val="51422992"/>
    <w:rsid w:val="519714D8"/>
    <w:rsid w:val="5197EE95"/>
    <w:rsid w:val="51A75675"/>
    <w:rsid w:val="51CC02C5"/>
    <w:rsid w:val="52A3AE62"/>
    <w:rsid w:val="52BEFDFA"/>
    <w:rsid w:val="52C4A0F5"/>
    <w:rsid w:val="530CDCBB"/>
    <w:rsid w:val="53140990"/>
    <w:rsid w:val="5332B648"/>
    <w:rsid w:val="53569336"/>
    <w:rsid w:val="53DF84D8"/>
    <w:rsid w:val="53F59560"/>
    <w:rsid w:val="53FD3EEF"/>
    <w:rsid w:val="5401697A"/>
    <w:rsid w:val="5486D979"/>
    <w:rsid w:val="5493E7D9"/>
    <w:rsid w:val="54D3AF24"/>
    <w:rsid w:val="5622A9DA"/>
    <w:rsid w:val="565265C4"/>
    <w:rsid w:val="56939658"/>
    <w:rsid w:val="56FD2D92"/>
    <w:rsid w:val="576BE4CF"/>
    <w:rsid w:val="576C3BD5"/>
    <w:rsid w:val="578329F9"/>
    <w:rsid w:val="57B3522F"/>
    <w:rsid w:val="5841DABF"/>
    <w:rsid w:val="5866083C"/>
    <w:rsid w:val="58966E3D"/>
    <w:rsid w:val="59017C2E"/>
    <w:rsid w:val="591F44AC"/>
    <w:rsid w:val="59AB4618"/>
    <w:rsid w:val="5AB31E67"/>
    <w:rsid w:val="5AE94A11"/>
    <w:rsid w:val="5AF63F83"/>
    <w:rsid w:val="5B0373F9"/>
    <w:rsid w:val="5B0D354E"/>
    <w:rsid w:val="5B58E8C8"/>
    <w:rsid w:val="5B5BC6B5"/>
    <w:rsid w:val="5BB24C54"/>
    <w:rsid w:val="5C27728B"/>
    <w:rsid w:val="5C7699E4"/>
    <w:rsid w:val="5C88639F"/>
    <w:rsid w:val="5CCA54E5"/>
    <w:rsid w:val="5D0D0A64"/>
    <w:rsid w:val="5D418BFA"/>
    <w:rsid w:val="5D6D3057"/>
    <w:rsid w:val="5E60244B"/>
    <w:rsid w:val="5EDF0680"/>
    <w:rsid w:val="5F817534"/>
    <w:rsid w:val="5FF5444D"/>
    <w:rsid w:val="5FF8CF39"/>
    <w:rsid w:val="60009B8A"/>
    <w:rsid w:val="6006BC14"/>
    <w:rsid w:val="601CE25D"/>
    <w:rsid w:val="6049B02D"/>
    <w:rsid w:val="60EB074C"/>
    <w:rsid w:val="6175B338"/>
    <w:rsid w:val="61D15ECE"/>
    <w:rsid w:val="61FF4C0A"/>
    <w:rsid w:val="6210B7A8"/>
    <w:rsid w:val="62165510"/>
    <w:rsid w:val="628F6C62"/>
    <w:rsid w:val="62970A44"/>
    <w:rsid w:val="63278E0D"/>
    <w:rsid w:val="632D6116"/>
    <w:rsid w:val="6352285E"/>
    <w:rsid w:val="635DA7E9"/>
    <w:rsid w:val="63ABBEBB"/>
    <w:rsid w:val="63CB6D5A"/>
    <w:rsid w:val="63CFF7C8"/>
    <w:rsid w:val="64120CCB"/>
    <w:rsid w:val="642CF4CA"/>
    <w:rsid w:val="647FC17B"/>
    <w:rsid w:val="6556B767"/>
    <w:rsid w:val="6591C7B8"/>
    <w:rsid w:val="66C27C6B"/>
    <w:rsid w:val="66E9B871"/>
    <w:rsid w:val="672882B8"/>
    <w:rsid w:val="67DC5076"/>
    <w:rsid w:val="68462367"/>
    <w:rsid w:val="688F08F4"/>
    <w:rsid w:val="689CD611"/>
    <w:rsid w:val="68A9BA9A"/>
    <w:rsid w:val="6A026F5A"/>
    <w:rsid w:val="6A1741FE"/>
    <w:rsid w:val="6A5D11A4"/>
    <w:rsid w:val="6AC9FF68"/>
    <w:rsid w:val="6AEAAE5A"/>
    <w:rsid w:val="6B51CD42"/>
    <w:rsid w:val="6B60D0B0"/>
    <w:rsid w:val="6BA74C32"/>
    <w:rsid w:val="6C036829"/>
    <w:rsid w:val="6CD49E48"/>
    <w:rsid w:val="6CDA20CB"/>
    <w:rsid w:val="6CE009BB"/>
    <w:rsid w:val="6D1D355F"/>
    <w:rsid w:val="6D1DB5F9"/>
    <w:rsid w:val="6D51A3E7"/>
    <w:rsid w:val="6D7D032F"/>
    <w:rsid w:val="6D84CAB5"/>
    <w:rsid w:val="6DF0E453"/>
    <w:rsid w:val="6E0499E5"/>
    <w:rsid w:val="6E8403E9"/>
    <w:rsid w:val="6E937BD0"/>
    <w:rsid w:val="6EAA43C1"/>
    <w:rsid w:val="6F1488A3"/>
    <w:rsid w:val="6F658BD7"/>
    <w:rsid w:val="6F878BFA"/>
    <w:rsid w:val="6FC71043"/>
    <w:rsid w:val="706BB4C2"/>
    <w:rsid w:val="7084B8C1"/>
    <w:rsid w:val="708F3A3E"/>
    <w:rsid w:val="70BA4A80"/>
    <w:rsid w:val="71048938"/>
    <w:rsid w:val="713D104E"/>
    <w:rsid w:val="71D86461"/>
    <w:rsid w:val="71FA5924"/>
    <w:rsid w:val="725FC18E"/>
    <w:rsid w:val="72A03E29"/>
    <w:rsid w:val="730F41B6"/>
    <w:rsid w:val="733F76B8"/>
    <w:rsid w:val="73662119"/>
    <w:rsid w:val="7377B123"/>
    <w:rsid w:val="738CE59F"/>
    <w:rsid w:val="73A0F101"/>
    <w:rsid w:val="73D64C06"/>
    <w:rsid w:val="73DEE9DF"/>
    <w:rsid w:val="741903EC"/>
    <w:rsid w:val="742BB7F1"/>
    <w:rsid w:val="74346032"/>
    <w:rsid w:val="745A6CF2"/>
    <w:rsid w:val="74671E36"/>
    <w:rsid w:val="74D7F2ED"/>
    <w:rsid w:val="7545EB4F"/>
    <w:rsid w:val="759E49E1"/>
    <w:rsid w:val="75BBB82B"/>
    <w:rsid w:val="76482CC0"/>
    <w:rsid w:val="76CAF9A2"/>
    <w:rsid w:val="76D99C54"/>
    <w:rsid w:val="77629EC0"/>
    <w:rsid w:val="776DD5EC"/>
    <w:rsid w:val="778841E6"/>
    <w:rsid w:val="782BAD67"/>
    <w:rsid w:val="7858BA96"/>
    <w:rsid w:val="785F64FA"/>
    <w:rsid w:val="7865811C"/>
    <w:rsid w:val="787414A3"/>
    <w:rsid w:val="78932899"/>
    <w:rsid w:val="799EE3FE"/>
    <w:rsid w:val="79B1FC1B"/>
    <w:rsid w:val="79B88CBC"/>
    <w:rsid w:val="79C5BA46"/>
    <w:rsid w:val="79DC2038"/>
    <w:rsid w:val="7A285AB6"/>
    <w:rsid w:val="7A5F1A3B"/>
    <w:rsid w:val="7ABA0A48"/>
    <w:rsid w:val="7ACFE9E9"/>
    <w:rsid w:val="7B73AA58"/>
    <w:rsid w:val="7BDBB336"/>
    <w:rsid w:val="7C2C8167"/>
    <w:rsid w:val="7C6C4B04"/>
    <w:rsid w:val="7C9DA088"/>
    <w:rsid w:val="7CDBFAA8"/>
    <w:rsid w:val="7D33D3F0"/>
    <w:rsid w:val="7DD74FE2"/>
    <w:rsid w:val="7DDCC786"/>
    <w:rsid w:val="7E4FFB75"/>
    <w:rsid w:val="7E57D606"/>
    <w:rsid w:val="7E5DC199"/>
    <w:rsid w:val="7F6C2808"/>
    <w:rsid w:val="7FB8DA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227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68C"/>
    <w:pPr>
      <w:spacing w:after="200" w:line="276" w:lineRule="auto"/>
    </w:pPr>
    <w:rPr>
      <w:rFonts w:ascii="Calibri" w:eastAsia="Calibri" w:hAnsi="Calibri" w:cs="Times New Roman"/>
    </w:rPr>
  </w:style>
  <w:style w:type="paragraph" w:styleId="Heading1">
    <w:name w:val="heading 1"/>
    <w:basedOn w:val="Heading10"/>
    <w:next w:val="Normal"/>
    <w:link w:val="Heading1Char"/>
    <w:uiPriority w:val="9"/>
    <w:qFormat/>
    <w:rsid w:val="008C4B3C"/>
    <w:pPr>
      <w:spacing w:before="1000"/>
      <w:jc w:val="center"/>
      <w:outlineLvl w:val="0"/>
    </w:pPr>
    <w:rPr>
      <w:sz w:val="72"/>
      <w:szCs w:val="72"/>
    </w:rPr>
  </w:style>
  <w:style w:type="paragraph" w:styleId="Heading2">
    <w:name w:val="heading 2"/>
    <w:basedOn w:val="Normal"/>
    <w:next w:val="Normal"/>
    <w:link w:val="Heading2Char"/>
    <w:uiPriority w:val="9"/>
    <w:unhideWhenUsed/>
    <w:qFormat/>
    <w:rsid w:val="004C7458"/>
    <w:pPr>
      <w:keepNext/>
      <w:keepLines/>
      <w:tabs>
        <w:tab w:val="left" w:pos="1701"/>
      </w:tabs>
      <w:spacing w:before="360" w:after="120" w:line="240" w:lineRule="auto"/>
      <w:outlineLvl w:val="1"/>
    </w:pPr>
    <w:rPr>
      <w:rFonts w:ascii="Franklin Gothic Medium" w:eastAsiaTheme="majorEastAsia" w:hAnsi="Franklin Gothic Medium" w:cstheme="majorBidi"/>
      <w:color w:val="000000" w:themeColor="text1"/>
      <w:sz w:val="32"/>
      <w:szCs w:val="26"/>
    </w:rPr>
  </w:style>
  <w:style w:type="paragraph" w:styleId="Heading3">
    <w:name w:val="heading 3"/>
    <w:basedOn w:val="Heading2"/>
    <w:next w:val="Normal"/>
    <w:link w:val="Heading3Char"/>
    <w:uiPriority w:val="9"/>
    <w:unhideWhenUsed/>
    <w:qFormat/>
    <w:rsid w:val="00713728"/>
    <w:pPr>
      <w:tabs>
        <w:tab w:val="clear" w:pos="1701"/>
      </w:tabs>
      <w:spacing w:line="276" w:lineRule="auto"/>
      <w:outlineLvl w:val="2"/>
    </w:pPr>
    <w:rPr>
      <w:rFonts w:ascii="Calibri" w:eastAsia="MS Gothic" w:hAnsi="Calibri" w:cs="Times New Roman"/>
      <w:b/>
      <w:bCs/>
      <w:i/>
      <w:color w:val="auto"/>
      <w:sz w:val="24"/>
      <w:szCs w:val="24"/>
    </w:rPr>
  </w:style>
  <w:style w:type="paragraph" w:styleId="Heading4">
    <w:name w:val="heading 4"/>
    <w:basedOn w:val="Normal"/>
    <w:next w:val="Normal"/>
    <w:link w:val="Heading4Char"/>
    <w:uiPriority w:val="9"/>
    <w:unhideWhenUsed/>
    <w:qFormat/>
    <w:rsid w:val="00F234F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358E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5505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78E7"/>
    <w:rPr>
      <w:rFonts w:ascii="Times New Roman" w:hAnsi="Times New Roman" w:cs="Times New Roman" w:hint="default"/>
      <w:color w:val="0000FF"/>
      <w:u w:val="single"/>
    </w:rPr>
  </w:style>
  <w:style w:type="paragraph" w:customStyle="1" w:styleId="Heading10">
    <w:name w:val="Heading1"/>
    <w:rsid w:val="006478E7"/>
    <w:pPr>
      <w:spacing w:after="200" w:line="240" w:lineRule="auto"/>
    </w:pPr>
    <w:rPr>
      <w:rFonts w:ascii="Calibri" w:eastAsia="Calibri" w:hAnsi="Calibri" w:cs="Calibri"/>
      <w:b/>
      <w:bCs/>
      <w:color w:val="000000"/>
      <w:sz w:val="36"/>
      <w:szCs w:val="36"/>
      <w:u w:color="000000"/>
      <w:lang w:val="en-US" w:eastAsia="en-AU"/>
    </w:rPr>
  </w:style>
  <w:style w:type="character" w:customStyle="1" w:styleId="Heading2Char">
    <w:name w:val="Heading 2 Char"/>
    <w:basedOn w:val="DefaultParagraphFont"/>
    <w:link w:val="Heading2"/>
    <w:uiPriority w:val="9"/>
    <w:rsid w:val="004C7458"/>
    <w:rPr>
      <w:rFonts w:ascii="Franklin Gothic Medium" w:eastAsiaTheme="majorEastAsia" w:hAnsi="Franklin Gothic Medium" w:cstheme="majorBidi"/>
      <w:color w:val="000000" w:themeColor="text1"/>
      <w:sz w:val="32"/>
      <w:szCs w:val="26"/>
    </w:rPr>
  </w:style>
  <w:style w:type="table" w:customStyle="1" w:styleId="TableGrid1">
    <w:name w:val="Table Grid1"/>
    <w:basedOn w:val="TableNormal"/>
    <w:uiPriority w:val="59"/>
    <w:rsid w:val="006478E7"/>
    <w:pPr>
      <w:spacing w:after="240" w:line="240" w:lineRule="auto"/>
      <w:ind w:left="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478E7"/>
    <w:pPr>
      <w:ind w:left="720"/>
      <w:contextualSpacing/>
    </w:pPr>
  </w:style>
  <w:style w:type="table" w:styleId="TableGrid">
    <w:name w:val="Table Grid"/>
    <w:aliases w:val="ASD Table,HealthConsult,RTI AMCP Table,Summary box,Table Gridbeth,new style"/>
    <w:basedOn w:val="TableNormal"/>
    <w:uiPriority w:val="59"/>
    <w:rsid w:val="002F3E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426AA"/>
    <w:pPr>
      <w:keepNext/>
      <w:spacing w:before="360" w:after="120" w:line="240" w:lineRule="auto"/>
      <w:ind w:left="709" w:hanging="709"/>
      <w:outlineLvl w:val="4"/>
    </w:pPr>
    <w:rPr>
      <w:rFonts w:ascii="Arial Narrow" w:eastAsia="Times New Roman" w:hAnsi="Arial Narrow" w:cs="Tahoma"/>
      <w:b/>
      <w:sz w:val="20"/>
      <w:szCs w:val="20"/>
      <w:lang w:val="en-GB" w:eastAsia="ja-JP"/>
    </w:rPr>
  </w:style>
  <w:style w:type="paragraph" w:customStyle="1" w:styleId="TableHeading">
    <w:name w:val="TableHeading"/>
    <w:basedOn w:val="Normal"/>
    <w:link w:val="TableHeadingChar"/>
    <w:qFormat/>
    <w:rsid w:val="000939E0"/>
    <w:pPr>
      <w:keepNext/>
      <w:spacing w:before="40" w:after="40" w:line="240" w:lineRule="auto"/>
    </w:pPr>
    <w:rPr>
      <w:rFonts w:ascii="Arial Narrow" w:eastAsia="Times New Roman" w:hAnsi="Arial Narrow" w:cs="Tahoma"/>
      <w:b/>
      <w:sz w:val="20"/>
      <w:szCs w:val="20"/>
      <w:lang w:eastAsia="en-AU"/>
    </w:rPr>
  </w:style>
  <w:style w:type="character" w:customStyle="1" w:styleId="TableHeadingChar">
    <w:name w:val="TableHeading Char"/>
    <w:link w:val="TableHeading"/>
    <w:rsid w:val="000939E0"/>
    <w:rPr>
      <w:rFonts w:ascii="Arial Narrow" w:eastAsia="Times New Roman" w:hAnsi="Arial Narrow" w:cs="Tahoma"/>
      <w:b/>
      <w:sz w:val="20"/>
      <w:szCs w:val="20"/>
      <w:lang w:eastAsia="en-AU"/>
    </w:rPr>
  </w:style>
  <w:style w:type="paragraph" w:customStyle="1" w:styleId="Tabletext">
    <w:name w:val="Table text"/>
    <w:basedOn w:val="Normal"/>
    <w:link w:val="TabletextChar"/>
    <w:qFormat/>
    <w:rsid w:val="000939E0"/>
    <w:pPr>
      <w:spacing w:before="40" w:after="40" w:line="240" w:lineRule="auto"/>
    </w:pPr>
    <w:rPr>
      <w:rFonts w:ascii="Arial Narrow" w:eastAsia="Times New Roman" w:hAnsi="Arial Narrow" w:cs="Tahoma"/>
      <w:sz w:val="20"/>
      <w:szCs w:val="20"/>
      <w:lang w:eastAsia="en-AU"/>
    </w:rPr>
  </w:style>
  <w:style w:type="character" w:customStyle="1" w:styleId="TabletextChar">
    <w:name w:val="Table text Char"/>
    <w:link w:val="Tabletext"/>
    <w:rsid w:val="000939E0"/>
    <w:rPr>
      <w:rFonts w:ascii="Arial Narrow" w:eastAsia="Times New Roman" w:hAnsi="Arial Narrow" w:cs="Tahoma"/>
      <w:sz w:val="20"/>
      <w:szCs w:val="20"/>
      <w:lang w:eastAsia="en-AU"/>
    </w:rPr>
  </w:style>
  <w:style w:type="paragraph" w:customStyle="1" w:styleId="Tablenotes">
    <w:name w:val="Tablenotes"/>
    <w:basedOn w:val="Normal"/>
    <w:link w:val="TablenotesChar"/>
    <w:qFormat/>
    <w:rsid w:val="000939E0"/>
    <w:pPr>
      <w:widowControl w:val="0"/>
      <w:spacing w:after="120" w:line="240" w:lineRule="auto"/>
      <w:jc w:val="both"/>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0939E0"/>
    <w:rPr>
      <w:rFonts w:ascii="Arial Narrow" w:eastAsia="Times New Roman" w:hAnsi="Arial Narrow" w:cs="Arial"/>
      <w:snapToGrid w:val="0"/>
      <w:sz w:val="18"/>
      <w:szCs w:val="20"/>
    </w:rPr>
  </w:style>
  <w:style w:type="paragraph" w:customStyle="1" w:styleId="TableName">
    <w:name w:val="TableName"/>
    <w:basedOn w:val="Normal"/>
    <w:qFormat/>
    <w:rsid w:val="00891488"/>
    <w:pPr>
      <w:keepNext/>
      <w:spacing w:after="240" w:line="240" w:lineRule="auto"/>
      <w:ind w:left="1134" w:hanging="1134"/>
    </w:pPr>
    <w:rPr>
      <w:rFonts w:ascii="Franklin Gothic Medium" w:eastAsiaTheme="minorHAnsi" w:hAnsi="Franklin Gothic Medium" w:cstheme="minorBidi"/>
    </w:rPr>
  </w:style>
  <w:style w:type="character" w:customStyle="1" w:styleId="ListParagraphChar">
    <w:name w:val="List Paragraph Char"/>
    <w:basedOn w:val="DefaultParagraphFont"/>
    <w:link w:val="ListParagraph"/>
    <w:uiPriority w:val="34"/>
    <w:rsid w:val="00D867D5"/>
    <w:rPr>
      <w:rFonts w:ascii="Calibri" w:eastAsia="Calibri" w:hAnsi="Calibri" w:cs="Times New Roman"/>
    </w:rPr>
  </w:style>
  <w:style w:type="paragraph" w:styleId="Header">
    <w:name w:val="header"/>
    <w:basedOn w:val="Normal"/>
    <w:link w:val="HeaderChar"/>
    <w:uiPriority w:val="99"/>
    <w:unhideWhenUsed/>
    <w:rsid w:val="001631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315C"/>
    <w:rPr>
      <w:rFonts w:ascii="Calibri" w:eastAsia="Calibri" w:hAnsi="Calibri" w:cs="Times New Roman"/>
    </w:rPr>
  </w:style>
  <w:style w:type="paragraph" w:styleId="Footer">
    <w:name w:val="footer"/>
    <w:basedOn w:val="Normal"/>
    <w:link w:val="FooterChar"/>
    <w:uiPriority w:val="99"/>
    <w:unhideWhenUsed/>
    <w:rsid w:val="001631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15C"/>
    <w:rPr>
      <w:rFonts w:ascii="Calibri" w:eastAsia="Calibri" w:hAnsi="Calibri" w:cs="Times New Roman"/>
    </w:rPr>
  </w:style>
  <w:style w:type="paragraph" w:styleId="Subtitle">
    <w:name w:val="Subtitle"/>
    <w:basedOn w:val="Normal"/>
    <w:next w:val="Normal"/>
    <w:link w:val="SubtitleChar"/>
    <w:uiPriority w:val="11"/>
    <w:qFormat/>
    <w:rsid w:val="006F01C4"/>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F01C4"/>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A33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3126"/>
    <w:rPr>
      <w:rFonts w:ascii="Segoe UI" w:eastAsia="Calibri" w:hAnsi="Segoe UI" w:cs="Segoe UI"/>
      <w:sz w:val="18"/>
      <w:szCs w:val="18"/>
    </w:rPr>
  </w:style>
  <w:style w:type="character" w:styleId="CommentReference">
    <w:name w:val="annotation reference"/>
    <w:aliases w:val="Table Title"/>
    <w:basedOn w:val="DefaultParagraphFont"/>
    <w:uiPriority w:val="99"/>
    <w:unhideWhenUsed/>
    <w:qFormat/>
    <w:rsid w:val="00D84E12"/>
    <w:rPr>
      <w:sz w:val="16"/>
      <w:szCs w:val="16"/>
    </w:rPr>
  </w:style>
  <w:style w:type="paragraph" w:styleId="CommentText">
    <w:name w:val="annotation text"/>
    <w:basedOn w:val="Normal"/>
    <w:link w:val="CommentTextChar"/>
    <w:uiPriority w:val="99"/>
    <w:unhideWhenUsed/>
    <w:rsid w:val="00D84E12"/>
    <w:pPr>
      <w:spacing w:line="240" w:lineRule="auto"/>
    </w:pPr>
    <w:rPr>
      <w:sz w:val="20"/>
      <w:szCs w:val="20"/>
    </w:rPr>
  </w:style>
  <w:style w:type="character" w:customStyle="1" w:styleId="CommentTextChar">
    <w:name w:val="Comment Text Char"/>
    <w:basedOn w:val="DefaultParagraphFont"/>
    <w:link w:val="CommentText"/>
    <w:uiPriority w:val="99"/>
    <w:rsid w:val="00D84E12"/>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84E12"/>
    <w:rPr>
      <w:b/>
      <w:bCs/>
    </w:rPr>
  </w:style>
  <w:style w:type="character" w:customStyle="1" w:styleId="CommentSubjectChar">
    <w:name w:val="Comment Subject Char"/>
    <w:basedOn w:val="CommentTextChar"/>
    <w:link w:val="CommentSubject"/>
    <w:uiPriority w:val="99"/>
    <w:semiHidden/>
    <w:rsid w:val="00D84E12"/>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8C4B3C"/>
    <w:rPr>
      <w:color w:val="954F72" w:themeColor="followedHyperlink"/>
      <w:u w:val="single"/>
    </w:rPr>
  </w:style>
  <w:style w:type="character" w:customStyle="1" w:styleId="Heading1Char">
    <w:name w:val="Heading 1 Char"/>
    <w:basedOn w:val="DefaultParagraphFont"/>
    <w:link w:val="Heading1"/>
    <w:uiPriority w:val="9"/>
    <w:rsid w:val="008C4B3C"/>
    <w:rPr>
      <w:rFonts w:ascii="Calibri" w:eastAsia="Calibri" w:hAnsi="Calibri" w:cs="Calibri"/>
      <w:b/>
      <w:bCs/>
      <w:color w:val="000000"/>
      <w:sz w:val="72"/>
      <w:szCs w:val="72"/>
      <w:u w:color="000000"/>
      <w:lang w:val="en-US" w:eastAsia="en-AU"/>
    </w:rPr>
  </w:style>
  <w:style w:type="paragraph" w:customStyle="1" w:styleId="Instructionaltext">
    <w:name w:val="Instructional text"/>
    <w:basedOn w:val="Normal"/>
    <w:link w:val="InstructionaltextChar"/>
    <w:qFormat/>
    <w:rsid w:val="006A467F"/>
    <w:pPr>
      <w:spacing w:before="120" w:after="160" w:line="259" w:lineRule="auto"/>
    </w:pPr>
    <w:rPr>
      <w:rFonts w:eastAsiaTheme="minorHAnsi" w:cstheme="minorBidi"/>
      <w:color w:val="258221"/>
    </w:rPr>
  </w:style>
  <w:style w:type="character" w:customStyle="1" w:styleId="InstructionaltextChar">
    <w:name w:val="Instructional text Char"/>
    <w:basedOn w:val="DefaultParagraphFont"/>
    <w:link w:val="Instructionaltext"/>
    <w:rsid w:val="006A467F"/>
    <w:rPr>
      <w:rFonts w:ascii="Calibri" w:hAnsi="Calibri"/>
      <w:color w:val="258221"/>
    </w:rPr>
  </w:style>
  <w:style w:type="character" w:customStyle="1" w:styleId="Heading3Char">
    <w:name w:val="Heading 3 Char"/>
    <w:basedOn w:val="DefaultParagraphFont"/>
    <w:link w:val="Heading3"/>
    <w:uiPriority w:val="9"/>
    <w:rsid w:val="00713728"/>
    <w:rPr>
      <w:rFonts w:ascii="Calibri" w:eastAsia="MS Gothic" w:hAnsi="Calibri" w:cs="Times New Roman"/>
      <w:b/>
      <w:bCs/>
      <w:i/>
      <w:sz w:val="24"/>
      <w:szCs w:val="24"/>
    </w:rPr>
  </w:style>
  <w:style w:type="paragraph" w:customStyle="1" w:styleId="Instructionaltext-bullet">
    <w:name w:val="Instructional text - bullet"/>
    <w:basedOn w:val="Instructionaltext"/>
    <w:qFormat/>
    <w:rsid w:val="006A467F"/>
    <w:pPr>
      <w:numPr>
        <w:numId w:val="3"/>
      </w:numPr>
      <w:spacing w:before="0" w:after="0"/>
    </w:pPr>
  </w:style>
  <w:style w:type="paragraph" w:customStyle="1" w:styleId="Guidelinescross-ref">
    <w:name w:val="Guidelines cross-ref"/>
    <w:basedOn w:val="Normal"/>
    <w:qFormat/>
    <w:rsid w:val="00E01349"/>
    <w:pPr>
      <w:keepNext/>
      <w:spacing w:before="240" w:after="240" w:line="259" w:lineRule="auto"/>
    </w:pPr>
    <w:rPr>
      <w:rFonts w:eastAsiaTheme="minorHAnsi" w:cstheme="minorBidi"/>
      <w:b/>
      <w:color w:val="0070C0"/>
      <w:sz w:val="24"/>
    </w:rPr>
  </w:style>
  <w:style w:type="paragraph" w:customStyle="1" w:styleId="Instructionaltext-afterfiguretable">
    <w:name w:val="Instructional text - after figure/table"/>
    <w:basedOn w:val="Instructionaltext"/>
    <w:qFormat/>
    <w:rsid w:val="00E01349"/>
    <w:pPr>
      <w:spacing w:before="360"/>
    </w:pPr>
  </w:style>
  <w:style w:type="paragraph" w:styleId="Revision">
    <w:name w:val="Revision"/>
    <w:hidden/>
    <w:uiPriority w:val="99"/>
    <w:semiHidden/>
    <w:rsid w:val="004E3ABF"/>
    <w:pPr>
      <w:spacing w:after="0" w:line="240" w:lineRule="auto"/>
    </w:pPr>
    <w:rPr>
      <w:rFonts w:ascii="Calibri" w:eastAsia="Calibri" w:hAnsi="Calibri" w:cs="Times New Roman"/>
    </w:rPr>
  </w:style>
  <w:style w:type="paragraph" w:customStyle="1" w:styleId="TableText0">
    <w:name w:val="Table Text"/>
    <w:basedOn w:val="Normal"/>
    <w:link w:val="TableTextChar0"/>
    <w:qFormat/>
    <w:rsid w:val="000D1FCF"/>
    <w:pPr>
      <w:spacing w:before="40" w:after="40" w:line="240" w:lineRule="auto"/>
    </w:pPr>
    <w:rPr>
      <w:rFonts w:ascii="Arial Narrow" w:eastAsiaTheme="minorHAnsi" w:hAnsi="Arial Narrow" w:cstheme="minorBidi"/>
      <w:sz w:val="20"/>
    </w:rPr>
  </w:style>
  <w:style w:type="character" w:customStyle="1" w:styleId="TableTextChar0">
    <w:name w:val="Table Text Char"/>
    <w:basedOn w:val="DefaultParagraphFont"/>
    <w:link w:val="TableText0"/>
    <w:rsid w:val="000D1FCF"/>
    <w:rPr>
      <w:rFonts w:ascii="Arial Narrow" w:hAnsi="Arial Narrow"/>
      <w:sz w:val="20"/>
    </w:rPr>
  </w:style>
  <w:style w:type="character" w:styleId="PageNumber">
    <w:name w:val="page number"/>
    <w:basedOn w:val="DefaultParagraphFont"/>
    <w:uiPriority w:val="99"/>
    <w:semiHidden/>
    <w:unhideWhenUsed/>
    <w:rsid w:val="00685355"/>
  </w:style>
  <w:style w:type="character" w:customStyle="1" w:styleId="UnresolvedMention1">
    <w:name w:val="Unresolved Mention1"/>
    <w:basedOn w:val="DefaultParagraphFont"/>
    <w:uiPriority w:val="99"/>
    <w:unhideWhenUsed/>
    <w:rsid w:val="00BB0FFB"/>
    <w:rPr>
      <w:color w:val="605E5C"/>
      <w:shd w:val="clear" w:color="auto" w:fill="E1DFDD"/>
    </w:rPr>
  </w:style>
  <w:style w:type="table" w:customStyle="1" w:styleId="TableGrid11">
    <w:name w:val="Table Grid11"/>
    <w:basedOn w:val="TableNormal"/>
    <w:uiPriority w:val="59"/>
    <w:rsid w:val="00E03083"/>
    <w:pPr>
      <w:spacing w:after="240" w:line="240" w:lineRule="auto"/>
      <w:ind w:left="720" w:hanging="36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807730"/>
    <w:rPr>
      <w:color w:val="2B579A"/>
      <w:shd w:val="clear" w:color="auto" w:fill="E1DFDD"/>
    </w:rPr>
  </w:style>
  <w:style w:type="paragraph" w:styleId="FootnoteText">
    <w:name w:val="footnote text"/>
    <w:basedOn w:val="Normal"/>
    <w:link w:val="FootnoteTextChar"/>
    <w:uiPriority w:val="99"/>
    <w:unhideWhenUsed/>
    <w:rsid w:val="0082265C"/>
    <w:pPr>
      <w:spacing w:after="0" w:line="240" w:lineRule="auto"/>
    </w:pPr>
    <w:rPr>
      <w:sz w:val="20"/>
      <w:szCs w:val="20"/>
    </w:rPr>
  </w:style>
  <w:style w:type="character" w:customStyle="1" w:styleId="FootnoteTextChar">
    <w:name w:val="Footnote Text Char"/>
    <w:basedOn w:val="DefaultParagraphFont"/>
    <w:link w:val="FootnoteText"/>
    <w:uiPriority w:val="99"/>
    <w:rsid w:val="0082265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2265C"/>
    <w:rPr>
      <w:vertAlign w:val="superscript"/>
    </w:rPr>
  </w:style>
  <w:style w:type="character" w:customStyle="1" w:styleId="Heading4Char">
    <w:name w:val="Heading 4 Char"/>
    <w:basedOn w:val="DefaultParagraphFont"/>
    <w:link w:val="Heading4"/>
    <w:uiPriority w:val="9"/>
    <w:rsid w:val="00F234F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D358ED"/>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C5505D"/>
    <w:rPr>
      <w:rFonts w:asciiTheme="majorHAnsi" w:eastAsiaTheme="majorEastAsia" w:hAnsiTheme="majorHAnsi" w:cstheme="majorBidi"/>
      <w:color w:val="1F4D78" w:themeColor="accent1" w:themeShade="7F"/>
    </w:rPr>
  </w:style>
  <w:style w:type="character" w:customStyle="1" w:styleId="cf01">
    <w:name w:val="cf01"/>
    <w:basedOn w:val="DefaultParagraphFont"/>
    <w:rsid w:val="00C36076"/>
    <w:rPr>
      <w:rFonts w:ascii="Segoe UI" w:hAnsi="Segoe UI" w:cs="Segoe UI" w:hint="default"/>
      <w:sz w:val="18"/>
      <w:szCs w:val="18"/>
    </w:rPr>
  </w:style>
  <w:style w:type="character" w:customStyle="1" w:styleId="ui-provider">
    <w:name w:val="ui-provider"/>
    <w:basedOn w:val="DefaultParagraphFont"/>
    <w:rsid w:val="00D27F73"/>
  </w:style>
  <w:style w:type="character" w:styleId="UnresolvedMention">
    <w:name w:val="Unresolved Mention"/>
    <w:basedOn w:val="DefaultParagraphFont"/>
    <w:uiPriority w:val="99"/>
    <w:rsid w:val="00F157CF"/>
    <w:rPr>
      <w:color w:val="605E5C"/>
      <w:shd w:val="clear" w:color="auto" w:fill="E1DFDD"/>
    </w:rPr>
  </w:style>
  <w:style w:type="character" w:styleId="Mention">
    <w:name w:val="Mention"/>
    <w:basedOn w:val="DefaultParagraphFont"/>
    <w:uiPriority w:val="99"/>
    <w:rsid w:val="00173218"/>
    <w:rPr>
      <w:color w:val="2B579A"/>
      <w:shd w:val="clear" w:color="auto" w:fill="E1DFDD"/>
    </w:rPr>
  </w:style>
  <w:style w:type="paragraph" w:styleId="NormalWeb">
    <w:name w:val="Normal (Web)"/>
    <w:basedOn w:val="Normal"/>
    <w:uiPriority w:val="99"/>
    <w:semiHidden/>
    <w:unhideWhenUsed/>
    <w:rsid w:val="00430C3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10482">
      <w:bodyDiv w:val="1"/>
      <w:marLeft w:val="0"/>
      <w:marRight w:val="0"/>
      <w:marTop w:val="0"/>
      <w:marBottom w:val="0"/>
      <w:divBdr>
        <w:top w:val="none" w:sz="0" w:space="0" w:color="auto"/>
        <w:left w:val="none" w:sz="0" w:space="0" w:color="auto"/>
        <w:bottom w:val="none" w:sz="0" w:space="0" w:color="auto"/>
        <w:right w:val="none" w:sz="0" w:space="0" w:color="auto"/>
      </w:divBdr>
    </w:div>
    <w:div w:id="647440209">
      <w:bodyDiv w:val="1"/>
      <w:marLeft w:val="0"/>
      <w:marRight w:val="0"/>
      <w:marTop w:val="0"/>
      <w:marBottom w:val="0"/>
      <w:divBdr>
        <w:top w:val="none" w:sz="0" w:space="0" w:color="auto"/>
        <w:left w:val="none" w:sz="0" w:space="0" w:color="auto"/>
        <w:bottom w:val="none" w:sz="0" w:space="0" w:color="auto"/>
        <w:right w:val="none" w:sz="0" w:space="0" w:color="auto"/>
      </w:divBdr>
    </w:div>
    <w:div w:id="957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avanan.click/v2/___https://www9.health.gov.au/mbs/search.cfm___.YXAzOm9ydGhvY2VsbDphOm86MmExMzA3Mzk3ZDJiYzYyN2RlMTczN2MwYjM0N2YxMmE6NjpiOTkxOmIwMDcxNWE5NGM3OTA4MTUwZjUwMjg5Yjc1NjM5NzYyYTMwYzZmNTExYjhlYzg4ODJjYjllZjI0YTA3MDVjYmI6cDpU" TargetMode="External"/><Relationship Id="rId13" Type="http://schemas.openxmlformats.org/officeDocument/2006/relationships/hyperlink" Target="https://url.avanan.click/v2/___http://www.msac.gov.au/internet/msac/publishing.nsf/Content/1140-public___.YXAzOm9ydGhvY2VsbDphOm86MmExMzA3Mzk3ZDJiYzYyN2RlMTczN2MwYjM0N2YxMmE6NjpjNjlhOmJiODBmYTJkNjk5ZDRkYWZhOWIzNDEyZjI3NTFmMDMwNTI5ZTMzYTlhMDRjZDViNjQ0OTY3ZWI0MWYyNDc3ZDg6cDpU" TargetMode="External"/><Relationship Id="rId18" Type="http://schemas.openxmlformats.org/officeDocument/2006/relationships/hyperlink" Target="https://url.avanan.click/v2/___http://www.msac.gov.au/internet/msac/publishing.nsf/Content/1569-public___.YXAzOm9ydGhvY2VsbDphOm86MmExMzA3Mzk3ZDJiYzYyN2RlMTczN2MwYjM0N2YxMmE6NjplOWE1OjU1MTQwYmFkZTQ3OGZmZjUzMzYxOTAwYjdmYzE4ZTA0MDVkZWE3MTU5ZDljNmY5OTA3NTBkN2VlM2IzNDBkMDY6cDp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url.avanan.click/v2/___https://www.nice.org.uk/guidance/ta508___.YXAzOm9ydGhvY2VsbDphOm86MmExMzA3Mzk3ZDJiYzYyN2RlMTczN2MwYjM0N2YxMmE6Njo1OTA0OjJhMmVkZGQ2ZTY4NDFhMzVjNTRjYTRhNjg1NTg3NTFiNGYyZTRhNzFkZTNkMTc1NWMxNmZkMjU5Yzg4Y2Y0YWE6cDpU" TargetMode="External"/><Relationship Id="rId7" Type="http://schemas.openxmlformats.org/officeDocument/2006/relationships/endnotes" Target="endnotes.xml"/><Relationship Id="rId12" Type="http://schemas.openxmlformats.org/officeDocument/2006/relationships/hyperlink" Target="https://url.avanan.click/v2/___https://www9.health.gov.au/mbs/search.cfm___.YXAzOm9ydGhvY2VsbDphOm86MmExMzA3Mzk3ZDJiYzYyN2RlMTczN2MwYjM0N2YxMmE6NjpiOTkxOmIwMDcxNWE5NGM3OTA4MTUwZjUwMjg5Yjc1NjM5NzYyYTMwYzZmNTExYjhlYzg4ODJjYjllZjI0YTA3MDVjYmI6cDpU" TargetMode="External"/><Relationship Id="rId17" Type="http://schemas.openxmlformats.org/officeDocument/2006/relationships/hyperlink" Target="https://url.avanan.click/v2/___http://www.msac.gov.au/internet/msac/publishing.nsf/Content/1273-public___.YXAzOm9ydGhvY2VsbDphOm86MmExMzA3Mzk3ZDJiYzYyN2RlMTczN2MwYjM0N2YxMmE6Njo1YmM0OmQyMzJkZjI4MGIzZmU2NjFmNjdhMzdlYWYwZTYzNTNlODYyODc5ZTU4YTdkOThkOTUwNDk3ZDVhNTE5M2ZjNDk6cDpU" TargetMode="External"/><Relationship Id="rId25" Type="http://schemas.openxmlformats.org/officeDocument/2006/relationships/hyperlink" Target="https://url.avanan.click/v2/___https://www.nice.org.uk/guidance/ta477___.YXAzOm9ydGhvY2VsbDphOm86MmExMzA3Mzk3ZDJiYzYyN2RlMTczN2MwYjM0N2YxMmE6Njo1ZGUwOjRkNmM1MmY0Y2UxZGZjYTk2Mjg0NzMzZjQ4NWYxNTc5MWU5ODQyNjFlN2ZhMGJhMTVkOTlhYzllNzgyNDMxZWI6cDpU" TargetMode="External"/><Relationship Id="rId2" Type="http://schemas.openxmlformats.org/officeDocument/2006/relationships/numbering" Target="numbering.xml"/><Relationship Id="rId16" Type="http://schemas.openxmlformats.org/officeDocument/2006/relationships/hyperlink" Target="https://url.avanan.click/v2/___http://www.nice.org.uk/guidance/ta508%20accessed%2004%20March%202024___.YXAzOm9ydGhvY2VsbDphOm86MmExMzA3Mzk3ZDJiYzYyN2RlMTczN2MwYjM0N2YxMmE6Njo5YjFmOjA5YzliNjJhN2Q4NGZjNTBhZWI5ZmU5MDgwZGQzMzAwZGY3ZTcxNjUwODU5MWZmNzI3MzBhNzE5M2Q5NTg4YTU6cDpU"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l.avanan.click/v2/___https://www.tga.gov.au/resources/artg/289402___.YXAzOm9ydGhvY2VsbDphOm86MmExMzA3Mzk3ZDJiYzYyN2RlMTczN2MwYjM0N2YxMmE6Njo4YWNlOjFkODc1NTZjYzQzMDY5MjUxNGY0YWFjMzI2Y2U0OTA4MmNhN2M1YzA3NWEyMGQzZjRjOGVhODkwMWE0ZDU4MzA6cDpU" TargetMode="External"/><Relationship Id="rId24" Type="http://schemas.openxmlformats.org/officeDocument/2006/relationships/hyperlink" Target="https://url.avanan.click/v2/___http://www.msac.gov.au/internet/msac/publishing.nsf/Content/1140-public___.YXAzOm9ydGhvY2VsbDphOm86MmExMzA3Mzk3ZDJiYzYyN2RlMTczN2MwYjM0N2YxMmE6NjpjNjlhOmJiODBmYTJkNjk5ZDRkYWZhOWIzNDEyZjI3NTFmMDMwNTI5ZTMzYTlhMDRjZDViNjQ0OTY3ZWI0MWYyNDc3ZDg6cDpU" TargetMode="External"/><Relationship Id="rId5" Type="http://schemas.openxmlformats.org/officeDocument/2006/relationships/webSettings" Target="webSettings.xml"/><Relationship Id="rId15" Type="http://schemas.openxmlformats.org/officeDocument/2006/relationships/hyperlink" Target="https://url.avanan.click/v2/___http://www.nice.org.uk/guidance/ta477%20accessed%2004%20March%202024___.YXAzOm9ydGhvY2VsbDphOm86MmExMzA3Mzk3ZDJiYzYyN2RlMTczN2MwYjM0N2YxMmE6NjpmNDMwOjhjY2FjNzEzMDNiN2M4MjI0ZTRkMWFkNWYyNTRhMGY2OWQwZWU2ZmIyY2RiYzY2MWUzMmVmOTdiOGRlZDRjMGU6cDpU" TargetMode="External"/><Relationship Id="rId23" Type="http://schemas.openxmlformats.org/officeDocument/2006/relationships/hyperlink" Target="https://url.avanan.click/v2/___http://www.msac.gov.au/internet/msac/publishing.nsf/Content/application-page___.YXAzOm9ydGhvY2VsbDphOm86MmExMzA3Mzk3ZDJiYzYyN2RlMTczN2MwYjM0N2YxMmE6Njo4MjM2OjE0ODcxMTc4YWYzZTM3ZGU3NzU5NGVkZGYwNDQ0ODMzMzBlNGM0YzRmNWU1OGYwNDQyOGU3NjRkNDk0ODJkZTA6cDpU" TargetMode="External"/><Relationship Id="rId28" Type="http://schemas.openxmlformats.org/officeDocument/2006/relationships/footer" Target="footer2.xml"/><Relationship Id="rId10" Type="http://schemas.openxmlformats.org/officeDocument/2006/relationships/hyperlink" Target="https://url.avanan.click/v2/___https://www.health.gov.au/resources/publications/prescribed-list-of-medical-devices-and-human-tissue-products___.YXAzOm9ydGhvY2VsbDphOm86MmExMzA3Mzk3ZDJiYzYyN2RlMTczN2MwYjM0N2YxMmE6NjoyYmU1Ojg2Y2EyMzFiM2Y0YzlmNjJlOTA2ZGEwZWY1NTc5Nzc5YTIxY2M1YTc3MGQ0Nzc1MGJhNmM4ZGMyZWM2ZDhhZjU6cDpU" TargetMode="Externa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url.avanan.click/v2/___http://www.msac.gov.au/internet/msac/publishing.nsf/Content/1273-public___.YXAzOm9ydGhvY2VsbDphOm86MmExMzA3Mzk3ZDJiYzYyN2RlMTczN2MwYjM0N2YxMmE6Njo1YmM0OmQyMzJkZjI4MGIzZmU2NjFmNjdhMzdlYWYwZTYzNTNlODYyODc5ZTU4YTdkOThkOTUwNDk3ZDVhNTE5M2ZjNDk6cDpU" TargetMode="External"/><Relationship Id="rId14" Type="http://schemas.openxmlformats.org/officeDocument/2006/relationships/hyperlink" Target="https://url.avanan.click/v2/___http://www.msac.gov.au/internet/msac/publishing.nsf/Content/1273-public___.YXAzOm9ydGhvY2VsbDphOm86MmExMzA3Mzk3ZDJiYzYyN2RlMTczN2MwYjM0N2YxMmE6Njo1YmM0OmQyMzJkZjI4MGIzZmU2NjFmNjdhMzdlYWYwZTYzNTNlODYyODc5ZTU4YTdkOThkOTUwNDk3ZDVhNTE5M2ZjNDk6cDpU" TargetMode="External"/><Relationship Id="rId22" Type="http://schemas.openxmlformats.org/officeDocument/2006/relationships/hyperlink" Target="https://url.avanan.click/v2/___http://www.msac.gov.au/internet/msac/publishing.nsf/Content/1578-public___.YXAzOm9ydGhvY2VsbDphOm86MmExMzA3Mzk3ZDJiYzYyN2RlMTczN2MwYjM0N2YxMmE6NjozYTU4Ojk5ZjYzZmU1YjI0MWI4MjMxOWM0NTdjNTBhYWRhNGI1YWFmNjU2NWM5NzliM2RmNTc5Njc0YzlhM2E0YjllNWI6cDpU" TargetMode="External"/><Relationship Id="rId27" Type="http://schemas.openxmlformats.org/officeDocument/2006/relationships/footer" Target="footer1.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url.avanan.click/v2/___https://www.mbsonline.gov.au/internet/mbsonline/publishing.nsf/Content/F3E1DA9A21343EA6CA258646007893F7/$File/Factsheet-Knee%20.pdf___.YXAzOm9ydGhvY2VsbDphOm86MmExMzA3Mzk3ZDJiYzYyN2RlMTczN2MwYjM0N2YxMmE6NjozMGI4OmQ1ZDg0YTZmZGZhMTVmYWRiMWJjNGEyYjdlYmY2ZmUyMjkzYWY2YjAwMDI1ZTVlYzAzMzc5YTFmYzYzOGFmYjA6cDpU" TargetMode="External"/><Relationship Id="rId2" Type="http://schemas.openxmlformats.org/officeDocument/2006/relationships/hyperlink" Target="https://url.avanan.click/v2/___https://clinicaltrials.gov/study/NCT02636881___.YXAzOm9ydGhvY2VsbDphOm86MmExMzA3Mzk3ZDJiYzYyN2RlMTczN2MwYjM0N2YxMmE6Njo4YzZlOjExYWY4NzA5YmZlMjVkZDU2MmE2YzgyNTRjODlmNjFhMTYxNDMzYjcyZWUyYjdlMDFhMmNkZGVjYjA0NWJmN2Y6cDpU" TargetMode="External"/><Relationship Id="rId1" Type="http://schemas.openxmlformats.org/officeDocument/2006/relationships/hyperlink" Target="https://url.avanan.click/v2/___https://www.mbsonline.gov.au/internet/mbsonline/publishing.nsf/Content/F3E1DA9A21343EA6CA258646007893F7/$File/Factsheet-Knee%20.pdf___.YXAzOm9ydGhvY2VsbDphOm86MmExMzA3Mzk3ZDJiYzYyN2RlMTczN2MwYjM0N2YxMmE6NjozMGI4OmQ1ZDg0YTZmZGZhMTVmYWRiMWJjNGEyYjdlYmY2ZmUyMjkzYWY2YjAwMDI1ZTVlYzAzMzc5YTFmYzYzOGFmYjA6cDpU" TargetMode="External"/><Relationship Id="rId4" Type="http://schemas.openxmlformats.org/officeDocument/2006/relationships/hyperlink" Target="https://url.avanan.click/v2/___https://consultations.health.gov.au/technology-assessment-access-division/consultation-paper-2a-modernising-of-part-b-of-the/supporting_documents/Consultation%20Paper%20No%202a%20%20Modernisation%20of%20Part%20B%20of%20the%20Prostheses%20List%20FINAL.pdf___.YXAzOm9ydGhvY2VsbDphOm86MmExMzA3Mzk3ZDJiYzYyN2RlMTczN2MwYjM0N2YxMmE6Njo4YmNlOmUxYTdjOGUzYzg1YmYxM2VlOGQ3YzBmODVkNmQ1OTQ4OTM1NGQ5Y2JjMTNiMjY1ZDRiNTAxNjlkOWRmY2Y2ZmM6cDp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C0ADB-7CCF-4BC9-8F3A-D8E39C8F0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13270</Words>
  <Characters>75643</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1773 Ratified PICO redacted</dc:title>
  <dc:subject/>
  <dc:creator/>
  <cp:keywords/>
  <cp:lastModifiedBy/>
  <cp:revision>1</cp:revision>
  <dcterms:created xsi:type="dcterms:W3CDTF">2024-07-23T02:41:00Z</dcterms:created>
  <dcterms:modified xsi:type="dcterms:W3CDTF">2024-07-23T02:42:00Z</dcterms:modified>
</cp:coreProperties>
</file>