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F971CC">
      <w:pPr>
        <w:pStyle w:val="Title"/>
        <w:spacing w:before="2600"/>
      </w:pPr>
      <w:r w:rsidRPr="001906CD">
        <w:t>Application Form</w:t>
      </w:r>
    </w:p>
    <w:p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rsidR="008B2610" w:rsidRPr="00154B00" w:rsidRDefault="009F5758" w:rsidP="003F7CB9">
      <w:pPr>
        <w:spacing w:before="0" w:after="0"/>
      </w:pPr>
      <w:r w:rsidRPr="00154B00">
        <w:t>Phone:  +61 2 6289 7550</w:t>
      </w:r>
    </w:p>
    <w:p w:rsidR="009F5758" w:rsidRPr="00154B00" w:rsidRDefault="009F5758" w:rsidP="003F7CB9">
      <w:pPr>
        <w:spacing w:before="0" w:after="0"/>
      </w:pPr>
      <w:r w:rsidRPr="00154B00">
        <w:t>Fax:  +61 2 6289 5540</w:t>
      </w:r>
    </w:p>
    <w:p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rsidR="00C171FB" w:rsidRPr="00CB2121" w:rsidRDefault="00C171FB" w:rsidP="00C171FB">
      <w:pPr>
        <w:pBdr>
          <w:top w:val="single" w:sz="4" w:space="1" w:color="auto"/>
          <w:left w:val="single" w:sz="4" w:space="4" w:color="auto"/>
          <w:bottom w:val="single" w:sz="4" w:space="1" w:color="auto"/>
          <w:right w:val="single" w:sz="4" w:space="4" w:color="auto"/>
        </w:pBdr>
        <w:rPr>
          <w:b/>
        </w:rPr>
      </w:pPr>
      <w:r>
        <w:t>Corporation name</w:t>
      </w:r>
      <w:r w:rsidRPr="00701ED9">
        <w:rPr>
          <w:color w:val="FF0000"/>
        </w:rPr>
        <w:t xml:space="preserve">: </w:t>
      </w:r>
      <w:r w:rsidR="009F401D" w:rsidRPr="00CB2121">
        <w:rPr>
          <w:b/>
        </w:rPr>
        <w:t>The Royal College of Pathologists of Australasia (RCPA)</w:t>
      </w:r>
    </w:p>
    <w:p w:rsidR="00C171FB" w:rsidRPr="00CB2121" w:rsidRDefault="00C171FB" w:rsidP="00C171FB">
      <w:pPr>
        <w:pBdr>
          <w:top w:val="single" w:sz="4" w:space="1" w:color="auto"/>
          <w:left w:val="single" w:sz="4" w:space="4" w:color="auto"/>
          <w:bottom w:val="single" w:sz="4" w:space="1" w:color="auto"/>
          <w:right w:val="single" w:sz="4" w:space="4" w:color="auto"/>
        </w:pBdr>
        <w:rPr>
          <w:b/>
        </w:rPr>
      </w:pPr>
      <w:r>
        <w:t xml:space="preserve">ABN: </w:t>
      </w:r>
      <w:r w:rsidR="009F401D" w:rsidRPr="00CB2121">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9F401D">
        <w:rPr>
          <w:b/>
        </w:rPr>
        <w:t>Redacted</w:t>
      </w:r>
    </w:p>
    <w:p w:rsidR="00C171FB" w:rsidRPr="00C171FB" w:rsidRDefault="00C171FB" w:rsidP="00C171FB"/>
    <w:p w:rsidR="00C171FB" w:rsidRPr="00C171FB" w:rsidRDefault="00C171FB" w:rsidP="00C171FB">
      <w:pPr>
        <w:rPr>
          <w:b/>
        </w:rPr>
      </w:pPr>
      <w:r>
        <w:rPr>
          <w:b/>
        </w:rPr>
        <w:t xml:space="preserve">Primary contact name: </w:t>
      </w:r>
      <w:r w:rsidR="009F401D">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9F401D" w:rsidRDefault="00C171FB" w:rsidP="00C171FB">
      <w:pPr>
        <w:pBdr>
          <w:top w:val="single" w:sz="4" w:space="1" w:color="auto"/>
          <w:left w:val="single" w:sz="4" w:space="4" w:color="auto"/>
          <w:bottom w:val="single" w:sz="4" w:space="1" w:color="auto"/>
          <w:right w:val="single" w:sz="4" w:space="4" w:color="auto"/>
        </w:pBdr>
      </w:pPr>
      <w:r>
        <w:t xml:space="preserve">Business: </w:t>
      </w:r>
      <w:r w:rsidR="009F401D">
        <w:rPr>
          <w:b/>
        </w:rPr>
        <w:t>Redacted</w:t>
      </w:r>
    </w:p>
    <w:p w:rsidR="009F401D" w:rsidRDefault="00C171FB" w:rsidP="00C171FB">
      <w:pPr>
        <w:pBdr>
          <w:top w:val="single" w:sz="4" w:space="1" w:color="auto"/>
          <w:left w:val="single" w:sz="4" w:space="4" w:color="auto"/>
          <w:bottom w:val="single" w:sz="4" w:space="1" w:color="auto"/>
          <w:right w:val="single" w:sz="4" w:space="4" w:color="auto"/>
        </w:pBdr>
      </w:pPr>
      <w:r>
        <w:t>Mobile:</w:t>
      </w:r>
      <w:r>
        <w:tab/>
      </w:r>
      <w:r w:rsidR="009F401D">
        <w:rPr>
          <w:b/>
        </w:rPr>
        <w:t>Redacted</w:t>
      </w:r>
      <w:r w:rsidR="009F401D">
        <w:t xml:space="preserve"> </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9F401D">
        <w:rPr>
          <w:b/>
        </w:rPr>
        <w:t>Redacted</w:t>
      </w:r>
    </w:p>
    <w:p w:rsidR="00C171FB" w:rsidRDefault="00C171FB" w:rsidP="00C171FB">
      <w:pPr>
        <w:rPr>
          <w:b/>
        </w:rPr>
      </w:pPr>
    </w:p>
    <w:p w:rsidR="00C171FB" w:rsidRPr="00C171FB" w:rsidRDefault="00C171FB" w:rsidP="00C171FB">
      <w:pPr>
        <w:rPr>
          <w:b/>
        </w:rPr>
      </w:pPr>
      <w:r>
        <w:rPr>
          <w:b/>
        </w:rPr>
        <w:t xml:space="preserve">Alternative contact name: </w:t>
      </w:r>
      <w:r w:rsidR="009F401D">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9F401D">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9F401D">
        <w:rPr>
          <w:b/>
        </w:rPr>
        <w:t>Redacted</w:t>
      </w:r>
    </w:p>
    <w:p w:rsidR="00C171FB" w:rsidRPr="00C171FB" w:rsidRDefault="00C171FB" w:rsidP="009F401D">
      <w:pPr>
        <w:pBdr>
          <w:top w:val="single" w:sz="4" w:space="1" w:color="auto"/>
          <w:left w:val="single" w:sz="4" w:space="4" w:color="auto"/>
          <w:bottom w:val="single" w:sz="4" w:space="1" w:color="auto"/>
          <w:right w:val="single" w:sz="4" w:space="4" w:color="auto"/>
        </w:pBdr>
      </w:pPr>
      <w:r>
        <w:t xml:space="preserve">Email: </w:t>
      </w:r>
      <w:r w:rsidR="009F401D">
        <w:rPr>
          <w:b/>
        </w:rPr>
        <w:t>Redacted</w:t>
      </w:r>
    </w:p>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470ED">
        <w:rPr>
          <w:szCs w:val="20"/>
        </w:rPr>
      </w:r>
      <w:r w:rsidR="00C470ED">
        <w:rPr>
          <w:szCs w:val="20"/>
        </w:rPr>
        <w:fldChar w:fldCharType="separate"/>
      </w:r>
      <w:r w:rsidRPr="00753C44">
        <w:rPr>
          <w:szCs w:val="20"/>
        </w:rPr>
        <w:fldChar w:fldCharType="end"/>
      </w:r>
      <w:r>
        <w:rPr>
          <w:szCs w:val="20"/>
        </w:rPr>
        <w:t xml:space="preserve"> Yes</w:t>
      </w:r>
    </w:p>
    <w:p w:rsidR="00A6491A" w:rsidRPr="00753C44" w:rsidRDefault="00701ED9"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C470ED">
        <w:rPr>
          <w:szCs w:val="20"/>
        </w:rPr>
      </w:r>
      <w:r w:rsidR="00C470ED">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C470ED">
        <w:rPr>
          <w:szCs w:val="20"/>
        </w:rPr>
      </w:r>
      <w:r w:rsidR="00C470ED">
        <w:rPr>
          <w:szCs w:val="20"/>
        </w:rPr>
        <w:fldChar w:fldCharType="separate"/>
      </w:r>
      <w:r w:rsidRPr="00753C44">
        <w:rPr>
          <w:szCs w:val="20"/>
        </w:rPr>
        <w:fldChar w:fldCharType="end"/>
      </w:r>
      <w:r>
        <w:rPr>
          <w:szCs w:val="20"/>
        </w:rPr>
        <w:t xml:space="preserve"> Yes</w:t>
      </w:r>
    </w:p>
    <w:p w:rsidR="00A6491A" w:rsidRPr="00753C44" w:rsidRDefault="00701ED9"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A6491A">
        <w:rPr>
          <w:szCs w:val="20"/>
        </w:rPr>
        <w:t xml:space="preserve"> No</w:t>
      </w:r>
      <w:r w:rsidR="00A6491A"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rsidR="000B3CD0" w:rsidRDefault="000B3CD0" w:rsidP="00730C04">
      <w:pPr>
        <w:pStyle w:val="Heading2"/>
      </w:pPr>
      <w:r w:rsidRPr="00154B00">
        <w:t>Application title</w:t>
      </w:r>
      <w:r w:rsidR="00A8732C">
        <w:t xml:space="preserve"> </w:t>
      </w:r>
    </w:p>
    <w:p w:rsidR="009056C5" w:rsidRPr="00032181" w:rsidRDefault="00701ED9" w:rsidP="00A6491A">
      <w:pPr>
        <w:ind w:left="284"/>
      </w:pPr>
      <w:r w:rsidRPr="00032181">
        <w:t xml:space="preserve">Somatic Tumour Gene Panel Test </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2C3345" w:rsidRPr="009056C5" w:rsidRDefault="0079388D" w:rsidP="00A6491A">
      <w:pPr>
        <w:ind w:left="284"/>
      </w:pPr>
      <w:r>
        <w:rPr>
          <w:szCs w:val="20"/>
        </w:rPr>
        <w:t>The medical conditions relevant to the proposed service include all malignancies for which a somatic tumour gene panel test assists with determining suitability for therapy.</w:t>
      </w:r>
    </w:p>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CB12EC" w:rsidRPr="00CB12EC" w:rsidRDefault="0079388D" w:rsidP="00A6491A">
      <w:pPr>
        <w:ind w:left="284"/>
      </w:pPr>
      <w:r>
        <w:rPr>
          <w:szCs w:val="20"/>
        </w:rPr>
        <w:t>The proposed medical service is somatic tumour gene panel testing to detect</w:t>
      </w:r>
      <w:r w:rsidRPr="00D01EA6">
        <w:rPr>
          <w:szCs w:val="20"/>
        </w:rPr>
        <w:t xml:space="preserve"> </w:t>
      </w:r>
      <w:r>
        <w:rPr>
          <w:szCs w:val="20"/>
        </w:rPr>
        <w:t>genomic alterations in tumours to determine therapy suitability and identification of changes associated with resistance to therapy.</w:t>
      </w:r>
      <w:r w:rsidR="00701ED9" w:rsidRPr="00CB12EC">
        <w:t xml:space="preserve"> </w:t>
      </w:r>
    </w:p>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79388D"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C470ED">
        <w:rPr>
          <w:szCs w:val="20"/>
        </w:rPr>
      </w:r>
      <w:r w:rsidR="00C470ED">
        <w:rPr>
          <w:szCs w:val="20"/>
        </w:rPr>
        <w:fldChar w:fldCharType="separate"/>
      </w:r>
      <w:r>
        <w:rPr>
          <w:szCs w:val="20"/>
        </w:rPr>
        <w:fldChar w:fldCharType="end"/>
      </w:r>
      <w:bookmarkEnd w:id="2"/>
      <w:r w:rsidR="006B6390">
        <w:rPr>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470ED">
        <w:rPr>
          <w:szCs w:val="20"/>
        </w:rPr>
      </w:r>
      <w:r w:rsidR="00C470ED">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470ED">
        <w:rPr>
          <w:szCs w:val="20"/>
        </w:rPr>
      </w:r>
      <w:r w:rsidR="00C470ED">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79388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79388D" w:rsidP="0079388D">
      <w:pPr>
        <w:ind w:left="284" w:firstLine="436"/>
      </w:pPr>
      <w:r>
        <w:t>N/A</w:t>
      </w: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470ED">
        <w:rPr>
          <w:b/>
          <w:szCs w:val="20"/>
        </w:rPr>
      </w:r>
      <w:r w:rsidR="00C470E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470ED">
        <w:rPr>
          <w:b/>
          <w:szCs w:val="20"/>
        </w:rPr>
      </w:r>
      <w:r w:rsidR="00C470E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470ED">
        <w:rPr>
          <w:b/>
          <w:szCs w:val="20"/>
        </w:rPr>
      </w:r>
      <w:r w:rsidR="00C470E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470ED">
        <w:rPr>
          <w:b/>
          <w:szCs w:val="20"/>
        </w:rPr>
      </w:r>
      <w:r w:rsidR="00C470E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470ED">
        <w:rPr>
          <w:b/>
          <w:szCs w:val="20"/>
        </w:rPr>
      </w:r>
      <w:r w:rsidR="00C470ED">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470ED">
        <w:rPr>
          <w:b/>
          <w:szCs w:val="20"/>
        </w:rPr>
      </w:r>
      <w:r w:rsidR="00C470ED">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470ED">
        <w:rPr>
          <w:b/>
          <w:szCs w:val="20"/>
        </w:rPr>
      </w:r>
      <w:r w:rsidR="00C470E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470ED">
        <w:rPr>
          <w:b/>
          <w:szCs w:val="20"/>
        </w:rPr>
      </w:r>
      <w:r w:rsidR="00C470E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470ED">
        <w:rPr>
          <w:b/>
          <w:szCs w:val="20"/>
        </w:rPr>
      </w:r>
      <w:r w:rsidR="00C470ED">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470ED">
        <w:rPr>
          <w:b/>
          <w:szCs w:val="20"/>
        </w:rPr>
      </w:r>
      <w:r w:rsidR="00C470ED">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79388D"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C470ED">
        <w:rPr>
          <w:b/>
          <w:szCs w:val="20"/>
        </w:rPr>
      </w:r>
      <w:r w:rsidR="00C470ED">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470ED">
        <w:rPr>
          <w:b/>
          <w:szCs w:val="20"/>
        </w:rPr>
      </w:r>
      <w:r w:rsidR="00C470ED">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470ED">
        <w:rPr>
          <w:b/>
          <w:szCs w:val="20"/>
        </w:rPr>
      </w:r>
      <w:r w:rsidR="00C470ED">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sidRPr="000A5B32">
        <w:rPr>
          <w:szCs w:val="20"/>
        </w:rPr>
        <w:t xml:space="preserve"> Yes</w:t>
      </w:r>
    </w:p>
    <w:p w:rsidR="00626365" w:rsidRDefault="0079388D"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0A5B32" w:rsidRPr="000A5B32">
        <w:rPr>
          <w:szCs w:val="20"/>
        </w:rPr>
        <w:t xml:space="preserve"> No</w:t>
      </w:r>
    </w:p>
    <w:p w:rsidR="00626365" w:rsidRDefault="00626365" w:rsidP="00626365">
      <w:pPr>
        <w:spacing w:before="0" w:after="0"/>
        <w:ind w:left="284"/>
        <w:rPr>
          <w:szCs w:val="20"/>
        </w:rPr>
      </w:pPr>
      <w:r>
        <w:rPr>
          <w:szCs w:val="20"/>
        </w:rPr>
        <w:br w:type="page"/>
      </w:r>
    </w:p>
    <w:p w:rsidR="00626365" w:rsidRPr="00626365" w:rsidRDefault="00626365" w:rsidP="00626365">
      <w:pPr>
        <w:spacing w:before="0" w:after="0"/>
        <w:ind w:left="284"/>
        <w:rPr>
          <w:rStyle w:val="Strong"/>
          <w:rFonts w:asciiTheme="minorHAnsi" w:eastAsiaTheme="minorHAnsi" w:hAnsiTheme="minorHAnsi" w:cstheme="minorBidi"/>
          <w:b w:val="0"/>
          <w:szCs w:val="20"/>
        </w:rPr>
      </w:pP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rsidR="000A5B32" w:rsidRPr="00855944" w:rsidRDefault="00451741" w:rsidP="00451741">
      <w:pPr>
        <w:ind w:left="284" w:firstLine="76"/>
        <w:rPr>
          <w:rStyle w:val="Strong"/>
        </w:rPr>
      </w:pPr>
      <w:r>
        <w:t>N/A</w:t>
      </w:r>
    </w:p>
    <w:p w:rsidR="000B3CD0" w:rsidRDefault="000B3CD0" w:rsidP="00730C04">
      <w:pPr>
        <w:pStyle w:val="Heading2"/>
      </w:pPr>
      <w:r w:rsidRPr="00154B00">
        <w:t>What is the type of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470ED">
        <w:rPr>
          <w:b/>
          <w:szCs w:val="20"/>
        </w:rPr>
      </w:r>
      <w:r w:rsidR="00C470ED">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196668"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470ED">
        <w:rPr>
          <w:b/>
          <w:szCs w:val="20"/>
        </w:rPr>
      </w:r>
      <w:r w:rsidR="00C470ED">
        <w:rPr>
          <w:b/>
          <w:szCs w:val="20"/>
        </w:rPr>
        <w:fldChar w:fldCharType="separate"/>
      </w:r>
      <w:r>
        <w:rPr>
          <w:b/>
          <w:szCs w:val="20"/>
        </w:rPr>
        <w:fldChar w:fldCharType="end"/>
      </w:r>
      <w:r w:rsidR="00A6594E" w:rsidRPr="0027105F">
        <w:rPr>
          <w:b/>
          <w:szCs w:val="20"/>
        </w:rPr>
        <w:t xml:space="preserve"> </w:t>
      </w:r>
      <w:r w:rsidR="00A6594E">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470ED">
        <w:rPr>
          <w:b/>
          <w:szCs w:val="20"/>
        </w:rPr>
      </w:r>
      <w:r w:rsidR="00C470ED">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470ED">
        <w:rPr>
          <w:b/>
          <w:szCs w:val="20"/>
        </w:rPr>
      </w:r>
      <w:r w:rsidR="00C470ED">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470ED">
        <w:rPr>
          <w:b/>
          <w:szCs w:val="20"/>
        </w:rPr>
      </w:r>
      <w:r w:rsidR="00C470ED">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470ED">
        <w:rPr>
          <w:b/>
          <w:szCs w:val="20"/>
        </w:rPr>
      </w:r>
      <w:r w:rsidR="00C470ED">
        <w:rPr>
          <w:b/>
          <w:szCs w:val="20"/>
        </w:rPr>
        <w:fldChar w:fldCharType="separate"/>
      </w:r>
      <w:r w:rsidRPr="0027105F">
        <w:rPr>
          <w:b/>
          <w:szCs w:val="20"/>
        </w:rPr>
        <w:fldChar w:fldCharType="end"/>
      </w:r>
      <w:r w:rsidRPr="0027105F">
        <w:rPr>
          <w:b/>
          <w:szCs w:val="20"/>
        </w:rPr>
        <w:t xml:space="preserve"> </w:t>
      </w:r>
      <w:r>
        <w:t>Co-dependent technology</w:t>
      </w:r>
    </w:p>
    <w:p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470ED">
        <w:rPr>
          <w:b/>
          <w:szCs w:val="20"/>
        </w:rPr>
      </w:r>
      <w:r w:rsidR="00C470ED">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470ED">
        <w:rPr>
          <w:b/>
          <w:szCs w:val="20"/>
        </w:rPr>
      </w:r>
      <w:r w:rsidR="00C470ED">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522488"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470ED">
        <w:rPr>
          <w:b/>
          <w:szCs w:val="20"/>
        </w:rPr>
      </w:r>
      <w:r w:rsidR="00C470ED">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rsidR="00A6594E" w:rsidRDefault="00522488"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470ED">
        <w:rPr>
          <w:b/>
          <w:szCs w:val="20"/>
        </w:rPr>
      </w:r>
      <w:r w:rsidR="00C470ED">
        <w:rPr>
          <w:b/>
          <w:szCs w:val="20"/>
        </w:rPr>
        <w:fldChar w:fldCharType="separate"/>
      </w:r>
      <w:r>
        <w:rPr>
          <w:b/>
          <w:szCs w:val="20"/>
        </w:rPr>
        <w:fldChar w:fldCharType="end"/>
      </w:r>
      <w:r w:rsidR="00A6594E" w:rsidRPr="00AF4466">
        <w:rPr>
          <w:b/>
          <w:szCs w:val="20"/>
        </w:rPr>
        <w:t xml:space="preserve"> </w:t>
      </w:r>
      <w:r w:rsidR="00A6594E">
        <w:t>Provides information about prognosis</w:t>
      </w:r>
    </w:p>
    <w:p w:rsidR="00A6594E" w:rsidRDefault="00522488"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470ED">
        <w:rPr>
          <w:b/>
          <w:szCs w:val="20"/>
        </w:rPr>
      </w:r>
      <w:r w:rsidR="00C470ED">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rsidR="00A6594E" w:rsidRPr="00A6594E" w:rsidRDefault="00522488"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C470ED">
        <w:rPr>
          <w:b/>
          <w:szCs w:val="20"/>
        </w:rPr>
      </w:r>
      <w:r w:rsidR="00C470ED">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522488"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470ED">
        <w:rPr>
          <w:b/>
          <w:szCs w:val="20"/>
        </w:rPr>
      </w:r>
      <w:r w:rsidR="00C470ED">
        <w:rPr>
          <w:b/>
          <w:szCs w:val="20"/>
        </w:rPr>
        <w:fldChar w:fldCharType="separate"/>
      </w:r>
      <w:r>
        <w:rPr>
          <w:b/>
          <w:szCs w:val="20"/>
        </w:rPr>
        <w:fldChar w:fldCharType="end"/>
      </w:r>
      <w:r w:rsidR="00FE16C1" w:rsidRPr="0027105F">
        <w:rPr>
          <w:b/>
          <w:szCs w:val="20"/>
        </w:rPr>
        <w:t xml:space="preserve"> </w:t>
      </w:r>
      <w:r w:rsidR="00FE16C1">
        <w:t>Pharmaceutical / Biological</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470ED">
        <w:rPr>
          <w:b/>
          <w:szCs w:val="20"/>
        </w:rPr>
      </w:r>
      <w:r w:rsidR="00C470ED">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470ED">
        <w:rPr>
          <w:b/>
          <w:szCs w:val="20"/>
        </w:rPr>
      </w:r>
      <w:r w:rsidR="00C470ED">
        <w:rPr>
          <w:b/>
          <w:szCs w:val="20"/>
        </w:rPr>
        <w:fldChar w:fldCharType="separate"/>
      </w:r>
      <w:r w:rsidRPr="0027105F">
        <w:rPr>
          <w:b/>
          <w:szCs w:val="20"/>
        </w:rPr>
        <w:fldChar w:fldCharType="end"/>
      </w:r>
      <w:r w:rsidRPr="0027105F">
        <w:rPr>
          <w:b/>
          <w:szCs w:val="20"/>
        </w:rPr>
        <w:t xml:space="preserve"> </w:t>
      </w:r>
      <w:r>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Default="0052248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FE16C1" w:rsidRPr="000A5B32">
        <w:rPr>
          <w:szCs w:val="20"/>
        </w:rPr>
        <w:t xml:space="preserve"> Yes</w:t>
      </w:r>
    </w:p>
    <w:p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No  </w:t>
      </w:r>
    </w:p>
    <w:p w:rsidR="00EC127A"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tbl>
      <w:tblPr>
        <w:tblStyle w:val="TableGrid"/>
        <w:tblW w:w="8482" w:type="dxa"/>
        <w:tblInd w:w="545" w:type="dxa"/>
        <w:tblLook w:val="04A0" w:firstRow="1" w:lastRow="0" w:firstColumn="1" w:lastColumn="0" w:noHBand="0" w:noVBand="1"/>
        <w:tblCaption w:val="PBS Item Numbers"/>
        <w:tblDescription w:val="PBS Item Numbers"/>
      </w:tblPr>
      <w:tblGrid>
        <w:gridCol w:w="1252"/>
        <w:gridCol w:w="814"/>
        <w:gridCol w:w="723"/>
        <w:gridCol w:w="708"/>
        <w:gridCol w:w="723"/>
        <w:gridCol w:w="706"/>
        <w:gridCol w:w="708"/>
        <w:gridCol w:w="701"/>
        <w:gridCol w:w="701"/>
        <w:gridCol w:w="721"/>
        <w:gridCol w:w="725"/>
      </w:tblGrid>
      <w:tr w:rsidR="00522488" w:rsidRPr="006C7636" w:rsidTr="00522488">
        <w:tc>
          <w:tcPr>
            <w:tcW w:w="1252" w:type="dxa"/>
          </w:tcPr>
          <w:p w:rsidR="00522488" w:rsidRPr="0061791A" w:rsidRDefault="00522488" w:rsidP="00B10871">
            <w:pPr>
              <w:spacing w:before="100" w:beforeAutospacing="1" w:after="100" w:afterAutospacing="1"/>
              <w:rPr>
                <w:b/>
                <w:sz w:val="18"/>
                <w:szCs w:val="18"/>
              </w:rPr>
            </w:pPr>
            <w:bookmarkStart w:id="3" w:name="_GoBack" w:colFirst="1" w:colLast="1"/>
            <w:r w:rsidRPr="0061791A">
              <w:rPr>
                <w:b/>
                <w:sz w:val="18"/>
                <w:szCs w:val="18"/>
              </w:rPr>
              <w:t>PBS drug</w:t>
            </w:r>
          </w:p>
        </w:tc>
        <w:tc>
          <w:tcPr>
            <w:tcW w:w="7230" w:type="dxa"/>
            <w:gridSpan w:val="10"/>
          </w:tcPr>
          <w:p w:rsidR="00522488" w:rsidRPr="0061791A" w:rsidRDefault="00522488" w:rsidP="00367BCD">
            <w:pPr>
              <w:spacing w:before="100" w:beforeAutospacing="1" w:after="100" w:afterAutospacing="1"/>
              <w:jc w:val="center"/>
              <w:rPr>
                <w:b/>
                <w:sz w:val="16"/>
                <w:szCs w:val="16"/>
              </w:rPr>
            </w:pPr>
            <w:r w:rsidRPr="0061791A">
              <w:rPr>
                <w:b/>
                <w:sz w:val="16"/>
                <w:szCs w:val="16"/>
              </w:rPr>
              <w:t>PBS item numbers</w:t>
            </w:r>
          </w:p>
        </w:tc>
      </w:tr>
      <w:bookmarkEnd w:id="3"/>
      <w:tr w:rsidR="00522488" w:rsidRPr="006C7636" w:rsidTr="00522488">
        <w:tc>
          <w:tcPr>
            <w:tcW w:w="1252" w:type="dxa"/>
          </w:tcPr>
          <w:p w:rsidR="00522488" w:rsidRPr="006C7636" w:rsidRDefault="00522488" w:rsidP="00B10871">
            <w:pPr>
              <w:spacing w:before="100" w:beforeAutospacing="1" w:after="100" w:afterAutospacing="1"/>
              <w:rPr>
                <w:sz w:val="18"/>
                <w:szCs w:val="18"/>
              </w:rPr>
            </w:pPr>
            <w:r w:rsidRPr="006C7636">
              <w:rPr>
                <w:sz w:val="18"/>
                <w:szCs w:val="18"/>
              </w:rPr>
              <w:t>dabrafenib</w:t>
            </w:r>
          </w:p>
        </w:tc>
        <w:tc>
          <w:tcPr>
            <w:tcW w:w="814" w:type="dxa"/>
          </w:tcPr>
          <w:p w:rsidR="00522488" w:rsidRPr="006C7636" w:rsidRDefault="00522488" w:rsidP="00B10871">
            <w:pPr>
              <w:spacing w:before="100" w:beforeAutospacing="1" w:after="100" w:afterAutospacing="1"/>
              <w:rPr>
                <w:sz w:val="16"/>
                <w:szCs w:val="16"/>
              </w:rPr>
            </w:pPr>
            <w:r w:rsidRPr="006C7636">
              <w:rPr>
                <w:sz w:val="16"/>
                <w:szCs w:val="16"/>
              </w:rPr>
              <w:t>02846T</w:t>
            </w:r>
          </w:p>
        </w:tc>
        <w:tc>
          <w:tcPr>
            <w:tcW w:w="723" w:type="dxa"/>
          </w:tcPr>
          <w:p w:rsidR="00522488" w:rsidRPr="006C7636" w:rsidRDefault="00522488" w:rsidP="00B10871">
            <w:pPr>
              <w:spacing w:before="100" w:beforeAutospacing="1" w:after="100" w:afterAutospacing="1"/>
              <w:rPr>
                <w:sz w:val="16"/>
                <w:szCs w:val="16"/>
              </w:rPr>
            </w:pPr>
            <w:r w:rsidRPr="006C7636">
              <w:rPr>
                <w:sz w:val="16"/>
                <w:szCs w:val="16"/>
              </w:rPr>
              <w:t>02954L</w:t>
            </w:r>
          </w:p>
        </w:tc>
        <w:tc>
          <w:tcPr>
            <w:tcW w:w="708" w:type="dxa"/>
          </w:tcPr>
          <w:p w:rsidR="00522488" w:rsidRPr="006C7636" w:rsidRDefault="00522488" w:rsidP="00B10871">
            <w:pPr>
              <w:spacing w:before="100" w:beforeAutospacing="1" w:after="100" w:afterAutospacing="1"/>
              <w:rPr>
                <w:sz w:val="16"/>
                <w:szCs w:val="16"/>
              </w:rPr>
            </w:pPr>
            <w:r w:rsidRPr="006C7636">
              <w:rPr>
                <w:sz w:val="16"/>
                <w:szCs w:val="16"/>
              </w:rPr>
              <w:t>02963Y</w:t>
            </w:r>
          </w:p>
        </w:tc>
        <w:tc>
          <w:tcPr>
            <w:tcW w:w="723" w:type="dxa"/>
          </w:tcPr>
          <w:p w:rsidR="00522488" w:rsidRPr="006C7636" w:rsidRDefault="00522488" w:rsidP="00B10871">
            <w:pPr>
              <w:spacing w:before="100" w:beforeAutospacing="1" w:after="100" w:afterAutospacing="1"/>
              <w:rPr>
                <w:sz w:val="16"/>
                <w:szCs w:val="16"/>
              </w:rPr>
            </w:pPr>
            <w:r w:rsidRPr="006C7636">
              <w:rPr>
                <w:sz w:val="16"/>
                <w:szCs w:val="16"/>
              </w:rPr>
              <w:t>10003L</w:t>
            </w:r>
          </w:p>
        </w:tc>
        <w:tc>
          <w:tcPr>
            <w:tcW w:w="706" w:type="dxa"/>
          </w:tcPr>
          <w:p w:rsidR="00522488" w:rsidRPr="006C7636" w:rsidRDefault="00522488" w:rsidP="00B10871">
            <w:pPr>
              <w:spacing w:before="100" w:beforeAutospacing="1" w:after="100" w:afterAutospacing="1"/>
              <w:rPr>
                <w:sz w:val="16"/>
                <w:szCs w:val="16"/>
              </w:rPr>
            </w:pPr>
          </w:p>
        </w:tc>
        <w:tc>
          <w:tcPr>
            <w:tcW w:w="708"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21" w:type="dxa"/>
          </w:tcPr>
          <w:p w:rsidR="00522488" w:rsidRPr="006C7636" w:rsidRDefault="00522488" w:rsidP="00B10871">
            <w:pPr>
              <w:spacing w:before="100" w:beforeAutospacing="1" w:after="100" w:afterAutospacing="1"/>
              <w:rPr>
                <w:sz w:val="16"/>
                <w:szCs w:val="16"/>
              </w:rPr>
            </w:pPr>
          </w:p>
        </w:tc>
        <w:tc>
          <w:tcPr>
            <w:tcW w:w="725" w:type="dxa"/>
          </w:tcPr>
          <w:p w:rsidR="00522488" w:rsidRPr="006C7636" w:rsidRDefault="00522488" w:rsidP="00B10871">
            <w:pPr>
              <w:spacing w:before="100" w:beforeAutospacing="1" w:after="100" w:afterAutospacing="1"/>
              <w:rPr>
                <w:sz w:val="16"/>
                <w:szCs w:val="16"/>
              </w:rPr>
            </w:pPr>
          </w:p>
        </w:tc>
      </w:tr>
      <w:tr w:rsidR="00522488" w:rsidRPr="006C7636" w:rsidTr="00522488">
        <w:tc>
          <w:tcPr>
            <w:tcW w:w="1252" w:type="dxa"/>
          </w:tcPr>
          <w:p w:rsidR="00522488" w:rsidRPr="006C7636" w:rsidRDefault="00522488" w:rsidP="00B10871">
            <w:pPr>
              <w:spacing w:before="100" w:beforeAutospacing="1" w:after="100" w:afterAutospacing="1"/>
              <w:rPr>
                <w:sz w:val="18"/>
                <w:szCs w:val="18"/>
              </w:rPr>
            </w:pPr>
            <w:r w:rsidRPr="006C7636">
              <w:rPr>
                <w:sz w:val="18"/>
                <w:szCs w:val="18"/>
              </w:rPr>
              <w:t xml:space="preserve">erlotinib </w:t>
            </w:r>
          </w:p>
        </w:tc>
        <w:tc>
          <w:tcPr>
            <w:tcW w:w="814" w:type="dxa"/>
          </w:tcPr>
          <w:p w:rsidR="00522488" w:rsidRPr="006C7636" w:rsidRDefault="00522488" w:rsidP="00B10871">
            <w:pPr>
              <w:spacing w:before="100" w:beforeAutospacing="1" w:after="100" w:afterAutospacing="1"/>
              <w:rPr>
                <w:sz w:val="16"/>
                <w:szCs w:val="16"/>
              </w:rPr>
            </w:pPr>
            <w:r w:rsidRPr="006C7636">
              <w:rPr>
                <w:sz w:val="16"/>
                <w:szCs w:val="16"/>
              </w:rPr>
              <w:t>10014C</w:t>
            </w:r>
          </w:p>
        </w:tc>
        <w:tc>
          <w:tcPr>
            <w:tcW w:w="723" w:type="dxa"/>
          </w:tcPr>
          <w:p w:rsidR="00522488" w:rsidRPr="006C7636" w:rsidRDefault="00522488" w:rsidP="00B10871">
            <w:pPr>
              <w:spacing w:before="100" w:beforeAutospacing="1" w:after="100" w:afterAutospacing="1"/>
              <w:rPr>
                <w:sz w:val="16"/>
                <w:szCs w:val="16"/>
              </w:rPr>
            </w:pPr>
            <w:r w:rsidRPr="006C7636">
              <w:rPr>
                <w:sz w:val="16"/>
                <w:szCs w:val="16"/>
              </w:rPr>
              <w:t>10019H</w:t>
            </w:r>
          </w:p>
        </w:tc>
        <w:tc>
          <w:tcPr>
            <w:tcW w:w="708" w:type="dxa"/>
          </w:tcPr>
          <w:p w:rsidR="00522488" w:rsidRPr="006C7636" w:rsidRDefault="00522488" w:rsidP="00B10871">
            <w:pPr>
              <w:spacing w:before="100" w:beforeAutospacing="1" w:after="100" w:afterAutospacing="1"/>
              <w:rPr>
                <w:sz w:val="16"/>
                <w:szCs w:val="16"/>
              </w:rPr>
            </w:pPr>
            <w:r w:rsidRPr="006C7636">
              <w:rPr>
                <w:sz w:val="16"/>
                <w:szCs w:val="16"/>
              </w:rPr>
              <w:t>10020J</w:t>
            </w:r>
          </w:p>
        </w:tc>
        <w:tc>
          <w:tcPr>
            <w:tcW w:w="723" w:type="dxa"/>
          </w:tcPr>
          <w:p w:rsidR="00522488" w:rsidRPr="006C7636" w:rsidRDefault="00522488" w:rsidP="00B10871">
            <w:pPr>
              <w:spacing w:before="100" w:beforeAutospacing="1" w:after="100" w:afterAutospacing="1"/>
              <w:rPr>
                <w:sz w:val="16"/>
                <w:szCs w:val="16"/>
              </w:rPr>
            </w:pPr>
            <w:r w:rsidRPr="006C7636">
              <w:rPr>
                <w:sz w:val="16"/>
                <w:szCs w:val="16"/>
              </w:rPr>
              <w:t>10022L</w:t>
            </w:r>
          </w:p>
        </w:tc>
        <w:tc>
          <w:tcPr>
            <w:tcW w:w="706" w:type="dxa"/>
          </w:tcPr>
          <w:p w:rsidR="00522488" w:rsidRPr="006C7636" w:rsidRDefault="00522488" w:rsidP="00B10871">
            <w:pPr>
              <w:spacing w:before="100" w:beforeAutospacing="1" w:after="100" w:afterAutospacing="1"/>
              <w:rPr>
                <w:sz w:val="16"/>
                <w:szCs w:val="16"/>
              </w:rPr>
            </w:pPr>
            <w:r w:rsidRPr="006C7636">
              <w:rPr>
                <w:sz w:val="16"/>
                <w:szCs w:val="16"/>
              </w:rPr>
              <w:t>10025P</w:t>
            </w:r>
          </w:p>
        </w:tc>
        <w:tc>
          <w:tcPr>
            <w:tcW w:w="708" w:type="dxa"/>
          </w:tcPr>
          <w:p w:rsidR="00522488" w:rsidRPr="006C7636" w:rsidRDefault="00522488" w:rsidP="00B10871">
            <w:pPr>
              <w:spacing w:before="100" w:beforeAutospacing="1" w:after="100" w:afterAutospacing="1"/>
              <w:rPr>
                <w:sz w:val="16"/>
                <w:szCs w:val="16"/>
              </w:rPr>
            </w:pPr>
            <w:r w:rsidRPr="006C7636">
              <w:rPr>
                <w:sz w:val="16"/>
                <w:szCs w:val="16"/>
              </w:rPr>
              <w:t>10028T</w:t>
            </w:r>
          </w:p>
        </w:tc>
        <w:tc>
          <w:tcPr>
            <w:tcW w:w="701"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21" w:type="dxa"/>
          </w:tcPr>
          <w:p w:rsidR="00522488" w:rsidRPr="006C7636" w:rsidRDefault="00522488" w:rsidP="00B10871">
            <w:pPr>
              <w:spacing w:before="100" w:beforeAutospacing="1" w:after="100" w:afterAutospacing="1"/>
              <w:rPr>
                <w:sz w:val="16"/>
                <w:szCs w:val="16"/>
              </w:rPr>
            </w:pPr>
          </w:p>
        </w:tc>
        <w:tc>
          <w:tcPr>
            <w:tcW w:w="725" w:type="dxa"/>
          </w:tcPr>
          <w:p w:rsidR="00522488" w:rsidRPr="006C7636" w:rsidRDefault="00522488" w:rsidP="00B10871">
            <w:pPr>
              <w:spacing w:before="100" w:beforeAutospacing="1" w:after="100" w:afterAutospacing="1"/>
              <w:rPr>
                <w:sz w:val="16"/>
                <w:szCs w:val="16"/>
              </w:rPr>
            </w:pPr>
          </w:p>
        </w:tc>
      </w:tr>
      <w:tr w:rsidR="00522488" w:rsidRPr="006C7636" w:rsidTr="00522488">
        <w:tc>
          <w:tcPr>
            <w:tcW w:w="1252" w:type="dxa"/>
          </w:tcPr>
          <w:p w:rsidR="00522488" w:rsidRPr="006C7636" w:rsidRDefault="00522488" w:rsidP="00B10871">
            <w:pPr>
              <w:spacing w:before="100" w:beforeAutospacing="1" w:after="100" w:afterAutospacing="1"/>
              <w:rPr>
                <w:sz w:val="18"/>
                <w:szCs w:val="18"/>
              </w:rPr>
            </w:pPr>
            <w:r w:rsidRPr="006C7636">
              <w:rPr>
                <w:sz w:val="18"/>
                <w:szCs w:val="18"/>
              </w:rPr>
              <w:t>gefitinib</w:t>
            </w:r>
          </w:p>
        </w:tc>
        <w:tc>
          <w:tcPr>
            <w:tcW w:w="814" w:type="dxa"/>
          </w:tcPr>
          <w:p w:rsidR="00522488" w:rsidRPr="006C7636" w:rsidRDefault="00522488" w:rsidP="00B10871">
            <w:pPr>
              <w:spacing w:before="100" w:beforeAutospacing="1" w:after="100" w:afterAutospacing="1"/>
              <w:rPr>
                <w:sz w:val="16"/>
                <w:szCs w:val="16"/>
              </w:rPr>
            </w:pPr>
            <w:r w:rsidRPr="006C7636">
              <w:rPr>
                <w:sz w:val="16"/>
                <w:szCs w:val="16"/>
              </w:rPr>
              <w:t>08769M</w:t>
            </w:r>
          </w:p>
        </w:tc>
        <w:tc>
          <w:tcPr>
            <w:tcW w:w="723" w:type="dxa"/>
          </w:tcPr>
          <w:p w:rsidR="00522488" w:rsidRPr="006C7636" w:rsidRDefault="00522488" w:rsidP="00B10871">
            <w:pPr>
              <w:spacing w:before="100" w:beforeAutospacing="1" w:after="100" w:afterAutospacing="1"/>
              <w:rPr>
                <w:sz w:val="16"/>
                <w:szCs w:val="16"/>
              </w:rPr>
            </w:pPr>
          </w:p>
        </w:tc>
        <w:tc>
          <w:tcPr>
            <w:tcW w:w="708" w:type="dxa"/>
          </w:tcPr>
          <w:p w:rsidR="00522488" w:rsidRPr="006C7636" w:rsidRDefault="00522488" w:rsidP="00B10871">
            <w:pPr>
              <w:spacing w:before="100" w:beforeAutospacing="1" w:after="100" w:afterAutospacing="1"/>
              <w:rPr>
                <w:sz w:val="16"/>
                <w:szCs w:val="16"/>
              </w:rPr>
            </w:pPr>
          </w:p>
        </w:tc>
        <w:tc>
          <w:tcPr>
            <w:tcW w:w="723" w:type="dxa"/>
          </w:tcPr>
          <w:p w:rsidR="00522488" w:rsidRPr="006C7636" w:rsidRDefault="00522488" w:rsidP="00B10871">
            <w:pPr>
              <w:spacing w:before="100" w:beforeAutospacing="1" w:after="100" w:afterAutospacing="1"/>
              <w:rPr>
                <w:sz w:val="16"/>
                <w:szCs w:val="16"/>
              </w:rPr>
            </w:pPr>
          </w:p>
        </w:tc>
        <w:tc>
          <w:tcPr>
            <w:tcW w:w="706" w:type="dxa"/>
          </w:tcPr>
          <w:p w:rsidR="00522488" w:rsidRPr="006C7636" w:rsidRDefault="00522488" w:rsidP="00B10871">
            <w:pPr>
              <w:spacing w:before="100" w:beforeAutospacing="1" w:after="100" w:afterAutospacing="1"/>
              <w:rPr>
                <w:sz w:val="16"/>
                <w:szCs w:val="16"/>
              </w:rPr>
            </w:pPr>
          </w:p>
        </w:tc>
        <w:tc>
          <w:tcPr>
            <w:tcW w:w="708"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21" w:type="dxa"/>
          </w:tcPr>
          <w:p w:rsidR="00522488" w:rsidRPr="006C7636" w:rsidRDefault="00522488" w:rsidP="00B10871">
            <w:pPr>
              <w:spacing w:before="100" w:beforeAutospacing="1" w:after="100" w:afterAutospacing="1"/>
              <w:rPr>
                <w:sz w:val="16"/>
                <w:szCs w:val="16"/>
              </w:rPr>
            </w:pPr>
          </w:p>
        </w:tc>
        <w:tc>
          <w:tcPr>
            <w:tcW w:w="725" w:type="dxa"/>
          </w:tcPr>
          <w:p w:rsidR="00522488" w:rsidRPr="006C7636" w:rsidRDefault="00522488" w:rsidP="00B10871">
            <w:pPr>
              <w:spacing w:before="100" w:beforeAutospacing="1" w:after="100" w:afterAutospacing="1"/>
              <w:rPr>
                <w:sz w:val="16"/>
                <w:szCs w:val="16"/>
              </w:rPr>
            </w:pPr>
          </w:p>
        </w:tc>
      </w:tr>
      <w:tr w:rsidR="00522488" w:rsidRPr="006C7636" w:rsidTr="00522488">
        <w:tc>
          <w:tcPr>
            <w:tcW w:w="1252" w:type="dxa"/>
          </w:tcPr>
          <w:p w:rsidR="00522488" w:rsidRPr="006C7636" w:rsidRDefault="00522488" w:rsidP="00B10871">
            <w:pPr>
              <w:spacing w:before="100" w:beforeAutospacing="1" w:after="100" w:afterAutospacing="1"/>
              <w:rPr>
                <w:sz w:val="18"/>
                <w:szCs w:val="18"/>
              </w:rPr>
            </w:pPr>
            <w:r w:rsidRPr="006C7636">
              <w:rPr>
                <w:sz w:val="18"/>
                <w:szCs w:val="18"/>
              </w:rPr>
              <w:t>cetuximab</w:t>
            </w:r>
          </w:p>
        </w:tc>
        <w:tc>
          <w:tcPr>
            <w:tcW w:w="814" w:type="dxa"/>
          </w:tcPr>
          <w:p w:rsidR="00522488" w:rsidRPr="006C7636" w:rsidRDefault="00522488" w:rsidP="00B10871">
            <w:pPr>
              <w:spacing w:before="100" w:beforeAutospacing="1" w:after="100" w:afterAutospacing="1"/>
              <w:rPr>
                <w:sz w:val="16"/>
                <w:szCs w:val="16"/>
              </w:rPr>
            </w:pPr>
            <w:r w:rsidRPr="006C7636">
              <w:rPr>
                <w:sz w:val="16"/>
                <w:szCs w:val="16"/>
              </w:rPr>
              <w:t>04312Y</w:t>
            </w:r>
          </w:p>
        </w:tc>
        <w:tc>
          <w:tcPr>
            <w:tcW w:w="723" w:type="dxa"/>
          </w:tcPr>
          <w:p w:rsidR="00522488" w:rsidRPr="006C7636" w:rsidRDefault="00522488" w:rsidP="00B10871">
            <w:pPr>
              <w:spacing w:before="100" w:beforeAutospacing="1" w:after="100" w:afterAutospacing="1"/>
              <w:rPr>
                <w:sz w:val="16"/>
                <w:szCs w:val="16"/>
              </w:rPr>
            </w:pPr>
            <w:r w:rsidRPr="006C7636">
              <w:rPr>
                <w:sz w:val="16"/>
                <w:szCs w:val="16"/>
              </w:rPr>
              <w:t>04435K</w:t>
            </w:r>
          </w:p>
        </w:tc>
        <w:tc>
          <w:tcPr>
            <w:tcW w:w="708" w:type="dxa"/>
          </w:tcPr>
          <w:p w:rsidR="00522488" w:rsidRPr="006C7636" w:rsidRDefault="00522488" w:rsidP="00B10871">
            <w:pPr>
              <w:spacing w:before="100" w:beforeAutospacing="1" w:after="100" w:afterAutospacing="1"/>
              <w:rPr>
                <w:sz w:val="16"/>
                <w:szCs w:val="16"/>
              </w:rPr>
            </w:pPr>
            <w:r w:rsidRPr="006C7636">
              <w:rPr>
                <w:sz w:val="16"/>
                <w:szCs w:val="16"/>
              </w:rPr>
              <w:t>04436L</w:t>
            </w:r>
          </w:p>
        </w:tc>
        <w:tc>
          <w:tcPr>
            <w:tcW w:w="723" w:type="dxa"/>
          </w:tcPr>
          <w:p w:rsidR="00522488" w:rsidRPr="006C7636" w:rsidRDefault="00522488" w:rsidP="00B10871">
            <w:pPr>
              <w:spacing w:before="100" w:beforeAutospacing="1" w:after="100" w:afterAutospacing="1"/>
              <w:rPr>
                <w:sz w:val="16"/>
                <w:szCs w:val="16"/>
              </w:rPr>
            </w:pPr>
            <w:r w:rsidRPr="006C7636">
              <w:rPr>
                <w:sz w:val="16"/>
                <w:szCs w:val="16"/>
              </w:rPr>
              <w:t>04731B</w:t>
            </w:r>
          </w:p>
        </w:tc>
        <w:tc>
          <w:tcPr>
            <w:tcW w:w="706" w:type="dxa"/>
          </w:tcPr>
          <w:p w:rsidR="00522488" w:rsidRPr="006C7636" w:rsidRDefault="00522488" w:rsidP="00B10871">
            <w:pPr>
              <w:spacing w:before="100" w:beforeAutospacing="1" w:after="100" w:afterAutospacing="1"/>
              <w:rPr>
                <w:sz w:val="16"/>
                <w:szCs w:val="16"/>
              </w:rPr>
            </w:pPr>
            <w:r w:rsidRPr="006C7636">
              <w:rPr>
                <w:sz w:val="16"/>
                <w:szCs w:val="16"/>
              </w:rPr>
              <w:t>07223E</w:t>
            </w:r>
          </w:p>
        </w:tc>
        <w:tc>
          <w:tcPr>
            <w:tcW w:w="708" w:type="dxa"/>
          </w:tcPr>
          <w:p w:rsidR="00522488" w:rsidRPr="006C7636" w:rsidRDefault="00522488" w:rsidP="00B10871">
            <w:pPr>
              <w:spacing w:before="100" w:beforeAutospacing="1" w:after="100" w:afterAutospacing="1"/>
              <w:rPr>
                <w:sz w:val="16"/>
                <w:szCs w:val="16"/>
              </w:rPr>
            </w:pPr>
            <w:r w:rsidRPr="006C7636">
              <w:rPr>
                <w:sz w:val="16"/>
                <w:szCs w:val="16"/>
              </w:rPr>
              <w:t>07240C</w:t>
            </w:r>
          </w:p>
        </w:tc>
        <w:tc>
          <w:tcPr>
            <w:tcW w:w="701" w:type="dxa"/>
          </w:tcPr>
          <w:p w:rsidR="00522488" w:rsidRPr="006C7636" w:rsidRDefault="00522488" w:rsidP="00B10871">
            <w:pPr>
              <w:spacing w:before="100" w:beforeAutospacing="1" w:after="100" w:afterAutospacing="1"/>
              <w:rPr>
                <w:sz w:val="16"/>
                <w:szCs w:val="16"/>
              </w:rPr>
            </w:pPr>
            <w:r w:rsidRPr="006C7636">
              <w:rPr>
                <w:sz w:val="16"/>
                <w:szCs w:val="16"/>
              </w:rPr>
              <w:t>07242E</w:t>
            </w:r>
          </w:p>
        </w:tc>
        <w:tc>
          <w:tcPr>
            <w:tcW w:w="701" w:type="dxa"/>
          </w:tcPr>
          <w:p w:rsidR="00522488" w:rsidRPr="006C7636" w:rsidRDefault="00522488" w:rsidP="00B10871">
            <w:pPr>
              <w:spacing w:before="100" w:beforeAutospacing="1" w:after="100" w:afterAutospacing="1"/>
              <w:rPr>
                <w:sz w:val="16"/>
                <w:szCs w:val="16"/>
              </w:rPr>
            </w:pPr>
            <w:r w:rsidRPr="006C7636">
              <w:rPr>
                <w:sz w:val="16"/>
                <w:szCs w:val="16"/>
              </w:rPr>
              <w:t>07273T</w:t>
            </w:r>
          </w:p>
        </w:tc>
        <w:tc>
          <w:tcPr>
            <w:tcW w:w="721" w:type="dxa"/>
          </w:tcPr>
          <w:p w:rsidR="00522488" w:rsidRPr="006C7636" w:rsidRDefault="00522488" w:rsidP="00B10871">
            <w:pPr>
              <w:spacing w:before="100" w:beforeAutospacing="1" w:after="100" w:afterAutospacing="1"/>
              <w:rPr>
                <w:sz w:val="16"/>
                <w:szCs w:val="16"/>
              </w:rPr>
            </w:pPr>
            <w:r w:rsidRPr="006C7636">
              <w:rPr>
                <w:sz w:val="16"/>
                <w:szCs w:val="16"/>
              </w:rPr>
              <w:t>10262D</w:t>
            </w:r>
          </w:p>
        </w:tc>
        <w:tc>
          <w:tcPr>
            <w:tcW w:w="725" w:type="dxa"/>
          </w:tcPr>
          <w:p w:rsidR="00522488" w:rsidRPr="006C7636" w:rsidRDefault="00522488" w:rsidP="00B10871">
            <w:pPr>
              <w:spacing w:before="100" w:beforeAutospacing="1" w:after="100" w:afterAutospacing="1"/>
              <w:rPr>
                <w:sz w:val="16"/>
                <w:szCs w:val="16"/>
              </w:rPr>
            </w:pPr>
            <w:r w:rsidRPr="006C7636">
              <w:rPr>
                <w:sz w:val="16"/>
                <w:szCs w:val="16"/>
              </w:rPr>
              <w:t>10265G</w:t>
            </w:r>
          </w:p>
        </w:tc>
      </w:tr>
      <w:tr w:rsidR="00522488" w:rsidRPr="006C7636" w:rsidTr="00522488">
        <w:tc>
          <w:tcPr>
            <w:tcW w:w="1252" w:type="dxa"/>
          </w:tcPr>
          <w:p w:rsidR="00522488" w:rsidRPr="006C7636" w:rsidRDefault="00522488" w:rsidP="00B10871">
            <w:pPr>
              <w:spacing w:before="100" w:beforeAutospacing="1" w:after="100" w:afterAutospacing="1"/>
              <w:rPr>
                <w:sz w:val="18"/>
                <w:szCs w:val="18"/>
              </w:rPr>
            </w:pPr>
            <w:r w:rsidRPr="006C7636">
              <w:rPr>
                <w:sz w:val="18"/>
                <w:szCs w:val="18"/>
              </w:rPr>
              <w:t>panitumumab</w:t>
            </w:r>
          </w:p>
        </w:tc>
        <w:tc>
          <w:tcPr>
            <w:tcW w:w="814" w:type="dxa"/>
          </w:tcPr>
          <w:p w:rsidR="00522488" w:rsidRPr="006C7636" w:rsidRDefault="00522488" w:rsidP="00B10871">
            <w:pPr>
              <w:spacing w:before="100" w:beforeAutospacing="1" w:after="100" w:afterAutospacing="1"/>
              <w:rPr>
                <w:sz w:val="16"/>
                <w:szCs w:val="16"/>
              </w:rPr>
            </w:pPr>
            <w:r w:rsidRPr="006C7636">
              <w:rPr>
                <w:sz w:val="16"/>
                <w:szCs w:val="16"/>
              </w:rPr>
              <w:t>10069Y</w:t>
            </w:r>
          </w:p>
        </w:tc>
        <w:tc>
          <w:tcPr>
            <w:tcW w:w="723" w:type="dxa"/>
          </w:tcPr>
          <w:p w:rsidR="00522488" w:rsidRPr="006C7636" w:rsidRDefault="00522488" w:rsidP="00B10871">
            <w:pPr>
              <w:spacing w:before="100" w:beforeAutospacing="1" w:after="100" w:afterAutospacing="1"/>
              <w:rPr>
                <w:sz w:val="16"/>
                <w:szCs w:val="16"/>
              </w:rPr>
            </w:pPr>
            <w:r w:rsidRPr="006C7636">
              <w:rPr>
                <w:sz w:val="16"/>
                <w:szCs w:val="16"/>
              </w:rPr>
              <w:t>10082P</w:t>
            </w:r>
          </w:p>
        </w:tc>
        <w:tc>
          <w:tcPr>
            <w:tcW w:w="708" w:type="dxa"/>
          </w:tcPr>
          <w:p w:rsidR="00522488" w:rsidRPr="006C7636" w:rsidRDefault="00522488" w:rsidP="00B10871">
            <w:pPr>
              <w:spacing w:before="100" w:beforeAutospacing="1" w:after="100" w:afterAutospacing="1"/>
              <w:rPr>
                <w:sz w:val="16"/>
                <w:szCs w:val="16"/>
              </w:rPr>
            </w:pPr>
            <w:r w:rsidRPr="006C7636">
              <w:rPr>
                <w:sz w:val="16"/>
                <w:szCs w:val="16"/>
              </w:rPr>
              <w:t>10508C</w:t>
            </w:r>
          </w:p>
        </w:tc>
        <w:tc>
          <w:tcPr>
            <w:tcW w:w="723" w:type="dxa"/>
          </w:tcPr>
          <w:p w:rsidR="00522488" w:rsidRPr="006C7636" w:rsidRDefault="00522488" w:rsidP="00B10871">
            <w:pPr>
              <w:spacing w:before="100" w:beforeAutospacing="1" w:after="100" w:afterAutospacing="1"/>
              <w:rPr>
                <w:sz w:val="16"/>
                <w:szCs w:val="16"/>
              </w:rPr>
            </w:pPr>
            <w:r w:rsidRPr="006C7636">
              <w:rPr>
                <w:sz w:val="16"/>
                <w:szCs w:val="16"/>
              </w:rPr>
              <w:t>10513H</w:t>
            </w:r>
          </w:p>
        </w:tc>
        <w:tc>
          <w:tcPr>
            <w:tcW w:w="706" w:type="dxa"/>
          </w:tcPr>
          <w:p w:rsidR="00522488" w:rsidRPr="006C7636" w:rsidRDefault="00522488" w:rsidP="00B10871">
            <w:pPr>
              <w:spacing w:before="100" w:beforeAutospacing="1" w:after="100" w:afterAutospacing="1"/>
              <w:rPr>
                <w:sz w:val="16"/>
                <w:szCs w:val="16"/>
              </w:rPr>
            </w:pPr>
          </w:p>
        </w:tc>
        <w:tc>
          <w:tcPr>
            <w:tcW w:w="708"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21" w:type="dxa"/>
          </w:tcPr>
          <w:p w:rsidR="00522488" w:rsidRPr="006C7636" w:rsidRDefault="00522488" w:rsidP="00B10871">
            <w:pPr>
              <w:spacing w:before="100" w:beforeAutospacing="1" w:after="100" w:afterAutospacing="1"/>
              <w:rPr>
                <w:sz w:val="16"/>
                <w:szCs w:val="16"/>
              </w:rPr>
            </w:pPr>
          </w:p>
        </w:tc>
        <w:tc>
          <w:tcPr>
            <w:tcW w:w="725" w:type="dxa"/>
          </w:tcPr>
          <w:p w:rsidR="00522488" w:rsidRPr="006C7636" w:rsidRDefault="00522488" w:rsidP="00B10871">
            <w:pPr>
              <w:spacing w:before="100" w:beforeAutospacing="1" w:after="100" w:afterAutospacing="1"/>
              <w:rPr>
                <w:sz w:val="16"/>
                <w:szCs w:val="16"/>
              </w:rPr>
            </w:pPr>
          </w:p>
        </w:tc>
      </w:tr>
      <w:tr w:rsidR="00522488" w:rsidRPr="006C7636" w:rsidTr="00522488">
        <w:tc>
          <w:tcPr>
            <w:tcW w:w="1252" w:type="dxa"/>
          </w:tcPr>
          <w:p w:rsidR="00522488" w:rsidRPr="006C7636" w:rsidRDefault="00522488" w:rsidP="00B10871">
            <w:pPr>
              <w:spacing w:before="100" w:beforeAutospacing="1" w:after="100" w:afterAutospacing="1"/>
              <w:rPr>
                <w:sz w:val="18"/>
                <w:szCs w:val="18"/>
              </w:rPr>
            </w:pPr>
            <w:r w:rsidRPr="006C7636">
              <w:rPr>
                <w:sz w:val="18"/>
                <w:szCs w:val="18"/>
              </w:rPr>
              <w:t>crizotinib</w:t>
            </w:r>
          </w:p>
        </w:tc>
        <w:tc>
          <w:tcPr>
            <w:tcW w:w="814" w:type="dxa"/>
          </w:tcPr>
          <w:p w:rsidR="00522488" w:rsidRPr="006C7636" w:rsidRDefault="00522488" w:rsidP="00B10871">
            <w:pPr>
              <w:spacing w:before="100" w:beforeAutospacing="1" w:after="100" w:afterAutospacing="1"/>
              <w:rPr>
                <w:sz w:val="16"/>
                <w:szCs w:val="16"/>
              </w:rPr>
            </w:pPr>
            <w:r w:rsidRPr="006C7636">
              <w:rPr>
                <w:sz w:val="16"/>
                <w:szCs w:val="16"/>
              </w:rPr>
              <w:t>10322G</w:t>
            </w:r>
          </w:p>
        </w:tc>
        <w:tc>
          <w:tcPr>
            <w:tcW w:w="723" w:type="dxa"/>
          </w:tcPr>
          <w:p w:rsidR="00522488" w:rsidRPr="006C7636" w:rsidRDefault="00522488" w:rsidP="00B10871">
            <w:pPr>
              <w:spacing w:before="100" w:beforeAutospacing="1" w:after="100" w:afterAutospacing="1"/>
              <w:rPr>
                <w:sz w:val="16"/>
                <w:szCs w:val="16"/>
              </w:rPr>
            </w:pPr>
            <w:r w:rsidRPr="006C7636">
              <w:rPr>
                <w:sz w:val="16"/>
                <w:szCs w:val="16"/>
              </w:rPr>
              <w:t>10323H</w:t>
            </w:r>
          </w:p>
        </w:tc>
        <w:tc>
          <w:tcPr>
            <w:tcW w:w="708" w:type="dxa"/>
          </w:tcPr>
          <w:p w:rsidR="00522488" w:rsidRPr="006C7636" w:rsidRDefault="00522488" w:rsidP="00B10871">
            <w:pPr>
              <w:spacing w:before="100" w:beforeAutospacing="1" w:after="100" w:afterAutospacing="1"/>
              <w:rPr>
                <w:sz w:val="16"/>
                <w:szCs w:val="16"/>
              </w:rPr>
            </w:pPr>
          </w:p>
        </w:tc>
        <w:tc>
          <w:tcPr>
            <w:tcW w:w="723" w:type="dxa"/>
          </w:tcPr>
          <w:p w:rsidR="00522488" w:rsidRPr="006C7636" w:rsidRDefault="00522488" w:rsidP="00B10871">
            <w:pPr>
              <w:spacing w:before="100" w:beforeAutospacing="1" w:after="100" w:afterAutospacing="1"/>
              <w:rPr>
                <w:sz w:val="16"/>
                <w:szCs w:val="16"/>
              </w:rPr>
            </w:pPr>
          </w:p>
        </w:tc>
        <w:tc>
          <w:tcPr>
            <w:tcW w:w="706" w:type="dxa"/>
          </w:tcPr>
          <w:p w:rsidR="00522488" w:rsidRPr="006C7636" w:rsidRDefault="00522488" w:rsidP="00B10871">
            <w:pPr>
              <w:spacing w:before="100" w:beforeAutospacing="1" w:after="100" w:afterAutospacing="1"/>
              <w:rPr>
                <w:sz w:val="16"/>
                <w:szCs w:val="16"/>
              </w:rPr>
            </w:pPr>
          </w:p>
        </w:tc>
        <w:tc>
          <w:tcPr>
            <w:tcW w:w="708"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21" w:type="dxa"/>
          </w:tcPr>
          <w:p w:rsidR="00522488" w:rsidRPr="006C7636" w:rsidRDefault="00522488" w:rsidP="00B10871">
            <w:pPr>
              <w:spacing w:before="100" w:beforeAutospacing="1" w:after="100" w:afterAutospacing="1"/>
              <w:rPr>
                <w:sz w:val="16"/>
                <w:szCs w:val="16"/>
              </w:rPr>
            </w:pPr>
          </w:p>
        </w:tc>
        <w:tc>
          <w:tcPr>
            <w:tcW w:w="725" w:type="dxa"/>
          </w:tcPr>
          <w:p w:rsidR="00522488" w:rsidRPr="006C7636" w:rsidRDefault="00522488" w:rsidP="00B10871">
            <w:pPr>
              <w:spacing w:before="100" w:beforeAutospacing="1" w:after="100" w:afterAutospacing="1"/>
              <w:rPr>
                <w:sz w:val="16"/>
                <w:szCs w:val="16"/>
              </w:rPr>
            </w:pPr>
          </w:p>
        </w:tc>
      </w:tr>
      <w:tr w:rsidR="00522488" w:rsidRPr="006C7636" w:rsidTr="00522488">
        <w:tc>
          <w:tcPr>
            <w:tcW w:w="1252" w:type="dxa"/>
          </w:tcPr>
          <w:p w:rsidR="00522488" w:rsidRPr="006C7636" w:rsidRDefault="00522488" w:rsidP="00B10871">
            <w:pPr>
              <w:spacing w:before="100" w:beforeAutospacing="1" w:after="100" w:afterAutospacing="1"/>
              <w:rPr>
                <w:sz w:val="18"/>
                <w:szCs w:val="18"/>
              </w:rPr>
            </w:pPr>
            <w:r>
              <w:rPr>
                <w:sz w:val="18"/>
                <w:szCs w:val="18"/>
              </w:rPr>
              <w:t>ceritinib</w:t>
            </w:r>
          </w:p>
        </w:tc>
        <w:tc>
          <w:tcPr>
            <w:tcW w:w="814" w:type="dxa"/>
          </w:tcPr>
          <w:p w:rsidR="00522488" w:rsidRPr="006C7636" w:rsidRDefault="00522488" w:rsidP="00B10871">
            <w:pPr>
              <w:spacing w:before="100" w:beforeAutospacing="1" w:after="100" w:afterAutospacing="1"/>
              <w:rPr>
                <w:sz w:val="16"/>
                <w:szCs w:val="16"/>
              </w:rPr>
            </w:pPr>
            <w:r w:rsidRPr="003C34B4">
              <w:rPr>
                <w:sz w:val="16"/>
                <w:szCs w:val="16"/>
              </w:rPr>
              <w:t>11056X</w:t>
            </w:r>
          </w:p>
        </w:tc>
        <w:tc>
          <w:tcPr>
            <w:tcW w:w="723" w:type="dxa"/>
          </w:tcPr>
          <w:p w:rsidR="00522488" w:rsidRPr="006C7636" w:rsidRDefault="00522488" w:rsidP="00B10871">
            <w:pPr>
              <w:spacing w:before="100" w:beforeAutospacing="1" w:after="100" w:afterAutospacing="1"/>
              <w:rPr>
                <w:sz w:val="16"/>
                <w:szCs w:val="16"/>
              </w:rPr>
            </w:pPr>
          </w:p>
        </w:tc>
        <w:tc>
          <w:tcPr>
            <w:tcW w:w="708" w:type="dxa"/>
          </w:tcPr>
          <w:p w:rsidR="00522488" w:rsidRPr="006C7636" w:rsidRDefault="00522488" w:rsidP="00B10871">
            <w:pPr>
              <w:spacing w:before="100" w:beforeAutospacing="1" w:after="100" w:afterAutospacing="1"/>
              <w:rPr>
                <w:sz w:val="16"/>
                <w:szCs w:val="16"/>
              </w:rPr>
            </w:pPr>
          </w:p>
        </w:tc>
        <w:tc>
          <w:tcPr>
            <w:tcW w:w="723" w:type="dxa"/>
          </w:tcPr>
          <w:p w:rsidR="00522488" w:rsidRPr="006C7636" w:rsidRDefault="00522488" w:rsidP="00B10871">
            <w:pPr>
              <w:spacing w:before="100" w:beforeAutospacing="1" w:after="100" w:afterAutospacing="1"/>
              <w:rPr>
                <w:sz w:val="16"/>
                <w:szCs w:val="16"/>
              </w:rPr>
            </w:pPr>
          </w:p>
        </w:tc>
        <w:tc>
          <w:tcPr>
            <w:tcW w:w="706" w:type="dxa"/>
          </w:tcPr>
          <w:p w:rsidR="00522488" w:rsidRPr="006C7636" w:rsidRDefault="00522488" w:rsidP="00B10871">
            <w:pPr>
              <w:spacing w:before="100" w:beforeAutospacing="1" w:after="100" w:afterAutospacing="1"/>
              <w:rPr>
                <w:sz w:val="16"/>
                <w:szCs w:val="16"/>
              </w:rPr>
            </w:pPr>
          </w:p>
        </w:tc>
        <w:tc>
          <w:tcPr>
            <w:tcW w:w="708"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01" w:type="dxa"/>
          </w:tcPr>
          <w:p w:rsidR="00522488" w:rsidRPr="006C7636" w:rsidRDefault="00522488" w:rsidP="00B10871">
            <w:pPr>
              <w:spacing w:before="100" w:beforeAutospacing="1" w:after="100" w:afterAutospacing="1"/>
              <w:rPr>
                <w:sz w:val="16"/>
                <w:szCs w:val="16"/>
              </w:rPr>
            </w:pPr>
          </w:p>
        </w:tc>
        <w:tc>
          <w:tcPr>
            <w:tcW w:w="721" w:type="dxa"/>
          </w:tcPr>
          <w:p w:rsidR="00522488" w:rsidRPr="006C7636" w:rsidRDefault="00522488" w:rsidP="00B10871">
            <w:pPr>
              <w:spacing w:before="100" w:beforeAutospacing="1" w:after="100" w:afterAutospacing="1"/>
              <w:rPr>
                <w:sz w:val="16"/>
                <w:szCs w:val="16"/>
              </w:rPr>
            </w:pPr>
          </w:p>
        </w:tc>
        <w:tc>
          <w:tcPr>
            <w:tcW w:w="725" w:type="dxa"/>
          </w:tcPr>
          <w:p w:rsidR="00522488" w:rsidRPr="006C7636" w:rsidRDefault="00522488" w:rsidP="00B10871">
            <w:pPr>
              <w:spacing w:before="100" w:beforeAutospacing="1" w:after="100" w:afterAutospacing="1"/>
              <w:rPr>
                <w:sz w:val="16"/>
                <w:szCs w:val="16"/>
              </w:rPr>
            </w:pPr>
          </w:p>
        </w:tc>
      </w:tr>
    </w:tbl>
    <w:p w:rsidR="00411735"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522488" w:rsidRPr="00522488" w:rsidRDefault="00522488" w:rsidP="00522488">
      <w:pPr>
        <w:ind w:left="720"/>
      </w:pPr>
      <w:r>
        <w:t>N/A</w:t>
      </w:r>
    </w:p>
    <w:p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sidR="001E6919">
        <w:rPr>
          <w:szCs w:val="20"/>
        </w:rPr>
        <w:t xml:space="preserve"> No</w:t>
      </w:r>
    </w:p>
    <w:p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rsidR="00B75965" w:rsidRDefault="00C470ED" w:rsidP="00530204">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sidRPr="000A5B32">
        <w:rPr>
          <w:szCs w:val="20"/>
        </w:rPr>
        <w:t xml:space="preserve"> Yes</w:t>
      </w:r>
    </w:p>
    <w:p w:rsidR="001E6958" w:rsidRDefault="0046343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1E6958">
        <w:rPr>
          <w:szCs w:val="20"/>
        </w:rPr>
        <w:t xml:space="preserve"> No  </w:t>
      </w: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rsidR="00522488" w:rsidRPr="00522488" w:rsidRDefault="00522488" w:rsidP="00522488">
      <w:pPr>
        <w:ind w:left="284"/>
      </w:pPr>
      <w:r>
        <w:lastRenderedPageBreak/>
        <w:t>N/A</w:t>
      </w:r>
    </w:p>
    <w:p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sidRPr="000A5B32">
        <w:rPr>
          <w:szCs w:val="20"/>
        </w:rPr>
        <w:t xml:space="preserve"> Yes</w:t>
      </w:r>
    </w:p>
    <w:p w:rsidR="001E6958" w:rsidRPr="009939DC" w:rsidRDefault="0046343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9939DC">
        <w:rPr>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sidRPr="000A5B32">
        <w:rPr>
          <w:szCs w:val="20"/>
        </w:rPr>
        <w:t xml:space="preserve"> Yes</w:t>
      </w:r>
    </w:p>
    <w:p w:rsidR="009939DC" w:rsidRPr="001E6958" w:rsidRDefault="0046343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9939DC">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p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522488" w:rsidRDefault="009939DC" w:rsidP="00463433">
      <w:pPr>
        <w:spacing w:before="100" w:beforeAutospacing="1" w:after="100" w:afterAutospacing="1"/>
        <w:ind w:firstLine="284"/>
      </w:pPr>
      <w:r>
        <w:t xml:space="preserve">Single use consumables: </w:t>
      </w:r>
    </w:p>
    <w:p w:rsidR="00522488" w:rsidRPr="00522488" w:rsidRDefault="00522488" w:rsidP="00522488">
      <w:pPr>
        <w:spacing w:before="100" w:beforeAutospacing="1" w:after="100" w:afterAutospacing="1"/>
        <w:ind w:left="284"/>
        <w:rPr>
          <w:szCs w:val="20"/>
        </w:rPr>
      </w:pPr>
      <w:r w:rsidRPr="00522488">
        <w:rPr>
          <w:szCs w:val="20"/>
        </w:rPr>
        <w:t xml:space="preserve">Several assays are available for somatic tumour gene panel tests and all require single use consumables such as laboratory pipette tips. </w:t>
      </w:r>
    </w:p>
    <w:p w:rsidR="00F301F1" w:rsidRPr="00855944" w:rsidRDefault="00522488" w:rsidP="00522488">
      <w:pPr>
        <w:spacing w:before="0" w:after="0"/>
        <w:ind w:left="284"/>
      </w:pPr>
      <w:r w:rsidRPr="00522488">
        <w:rPr>
          <w:szCs w:val="20"/>
        </w:rPr>
        <w:t>This application does not endorse any one specific commercial product. A detailed listing of all products and their consumables is beyond the scope of this application. It should be noted that new products will continue to be developed using the same scientific principles.</w:t>
      </w:r>
      <w:r w:rsidR="00F301F1" w:rsidRPr="00855944">
        <w:br w:type="page"/>
      </w:r>
    </w:p>
    <w:p w:rsidR="00226777" w:rsidRPr="00C776B1" w:rsidRDefault="00530204" w:rsidP="00B5731D">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522488">
        <w:fldChar w:fldCharType="begin">
          <w:ffData>
            <w:name w:val=""/>
            <w:enabled/>
            <w:calcOnExit w:val="0"/>
            <w:textInput>
              <w:default w:val="In-vitro diagnostic test"/>
            </w:textInput>
          </w:ffData>
        </w:fldChar>
      </w:r>
      <w:r w:rsidR="00522488">
        <w:instrText xml:space="preserve"> FORMTEXT </w:instrText>
      </w:r>
      <w:r w:rsidR="00522488">
        <w:fldChar w:fldCharType="separate"/>
      </w:r>
      <w:r w:rsidR="00522488">
        <w:rPr>
          <w:noProof/>
        </w:rPr>
        <w:t>In-vitro diagnostic test</w:t>
      </w:r>
      <w:r w:rsidR="00522488">
        <w:fldChar w:fldCharType="end"/>
      </w:r>
    </w:p>
    <w:p w:rsidR="00A26343" w:rsidRPr="00A26343" w:rsidRDefault="00A26343" w:rsidP="00A6491A">
      <w:pPr>
        <w:spacing w:before="0" w:after="0"/>
        <w:ind w:left="284"/>
        <w:rPr>
          <w:szCs w:val="20"/>
        </w:rPr>
      </w:pPr>
      <w:r w:rsidRPr="00A26343">
        <w:rPr>
          <w:szCs w:val="20"/>
        </w:rPr>
        <w:t>Manufacturer’s name</w:t>
      </w:r>
      <w:r>
        <w:rPr>
          <w:szCs w:val="20"/>
        </w:rPr>
        <w:t xml:space="preserve">: </w:t>
      </w:r>
      <w:r w:rsidR="00522488">
        <w:fldChar w:fldCharType="begin">
          <w:ffData>
            <w:name w:val=""/>
            <w:enabled/>
            <w:calcOnExit w:val="0"/>
            <w:textInput>
              <w:default w:val="Various"/>
            </w:textInput>
          </w:ffData>
        </w:fldChar>
      </w:r>
      <w:r w:rsidR="00522488">
        <w:instrText xml:space="preserve"> FORMTEXT </w:instrText>
      </w:r>
      <w:r w:rsidR="00522488">
        <w:fldChar w:fldCharType="separate"/>
      </w:r>
      <w:r w:rsidR="00522488">
        <w:rPr>
          <w:noProof/>
        </w:rPr>
        <w:t>Various</w:t>
      </w:r>
      <w:r w:rsidR="00522488">
        <w:fldChar w:fldCharType="end"/>
      </w:r>
    </w:p>
    <w:p w:rsidR="00A26343" w:rsidRPr="00A26343" w:rsidRDefault="00A26343" w:rsidP="00A6491A">
      <w:pPr>
        <w:spacing w:before="0" w:after="0"/>
        <w:ind w:left="284"/>
        <w:rPr>
          <w:szCs w:val="20"/>
        </w:rPr>
      </w:pPr>
      <w:r w:rsidRPr="00A26343">
        <w:rPr>
          <w:szCs w:val="20"/>
        </w:rPr>
        <w:t>Sponsor’s name</w:t>
      </w:r>
      <w:r>
        <w:rPr>
          <w:szCs w:val="20"/>
        </w:rPr>
        <w:t xml:space="preserve">: </w:t>
      </w:r>
      <w:r w:rsidR="00522488">
        <w:fldChar w:fldCharType="begin">
          <w:ffData>
            <w:name w:val=""/>
            <w:enabled/>
            <w:calcOnExit w:val="0"/>
            <w:textInput>
              <w:default w:val="Not applicable"/>
            </w:textInput>
          </w:ffData>
        </w:fldChar>
      </w:r>
      <w:r w:rsidR="00522488">
        <w:instrText xml:space="preserve"> FORMTEXT </w:instrText>
      </w:r>
      <w:r w:rsidR="00522488">
        <w:fldChar w:fldCharType="separate"/>
      </w:r>
      <w:r w:rsidR="00522488">
        <w:rPr>
          <w:noProof/>
        </w:rPr>
        <w:t>Not applicable</w:t>
      </w:r>
      <w:r w:rsidR="00522488">
        <w:fldChar w:fldCharType="end"/>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52248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615F42" w:rsidRPr="000A5B32">
        <w:rPr>
          <w:szCs w:val="20"/>
        </w:rPr>
        <w:t xml:space="preserve"> </w:t>
      </w:r>
      <w:r w:rsidR="00615F42"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sidRPr="000A5B32">
        <w:rPr>
          <w:szCs w:val="20"/>
        </w:rPr>
        <w:t xml:space="preserve"> </w:t>
      </w:r>
      <w:r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522488"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463433"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43654D">
        <w:rPr>
          <w:szCs w:val="20"/>
        </w:rPr>
        <w:t xml:space="preserve"> Yes (if yes, please provide details below)</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No</w:t>
      </w:r>
    </w:p>
    <w:p w:rsidR="0043654D" w:rsidRPr="00615F42" w:rsidRDefault="0043654D" w:rsidP="0043654D">
      <w:pPr>
        <w:spacing w:before="0" w:after="0"/>
        <w:ind w:left="284"/>
        <w:rPr>
          <w:b/>
          <w:szCs w:val="20"/>
        </w:rPr>
      </w:pPr>
    </w:p>
    <w:p w:rsidR="00522488" w:rsidRDefault="0043654D" w:rsidP="009D6304">
      <w:pPr>
        <w:spacing w:before="0" w:after="0"/>
        <w:ind w:left="284"/>
        <w:rPr>
          <w:szCs w:val="20"/>
        </w:rPr>
      </w:pPr>
      <w:r w:rsidRPr="0043654D">
        <w:rPr>
          <w:szCs w:val="20"/>
        </w:rPr>
        <w:t>ARTG listing, registration or inclusion number:</w:t>
      </w:r>
      <w:r>
        <w:rPr>
          <w:szCs w:val="20"/>
        </w:rPr>
        <w:t xml:space="preserve"> </w:t>
      </w:r>
    </w:p>
    <w:tbl>
      <w:tblPr>
        <w:tblStyle w:val="TableGrid"/>
        <w:tblW w:w="864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RTG licence numbers "/>
        <w:tblDescription w:val="ARTG licence numbers "/>
      </w:tblPr>
      <w:tblGrid>
        <w:gridCol w:w="8646"/>
      </w:tblGrid>
      <w:tr w:rsidR="00522488" w:rsidRPr="004E557B" w:rsidTr="00B10871">
        <w:tc>
          <w:tcPr>
            <w:tcW w:w="4677" w:type="dxa"/>
            <w:tcBorders>
              <w:top w:val="single" w:sz="4" w:space="0" w:color="auto"/>
              <w:left w:val="single" w:sz="4" w:space="0" w:color="auto"/>
              <w:bottom w:val="single" w:sz="4" w:space="0" w:color="auto"/>
              <w:right w:val="single" w:sz="4" w:space="0" w:color="auto"/>
            </w:tcBorders>
          </w:tcPr>
          <w:p w:rsidR="00522488" w:rsidRDefault="00522488" w:rsidP="00522488">
            <w:pPr>
              <w:pBdr>
                <w:bottom w:val="single" w:sz="4" w:space="1" w:color="auto"/>
              </w:pBdr>
              <w:spacing w:before="0" w:after="0"/>
              <w:rPr>
                <w:szCs w:val="20"/>
              </w:rPr>
            </w:pPr>
            <w:r w:rsidRPr="00D01EA6">
              <w:rPr>
                <w:szCs w:val="20"/>
              </w:rPr>
              <w:t>ARTG licence numbers for Acquired genetic alteration IVDs including but not limited to</w:t>
            </w:r>
            <w:r>
              <w:rPr>
                <w:szCs w:val="20"/>
              </w:rPr>
              <w:t xml:space="preserve">: </w:t>
            </w:r>
          </w:p>
          <w:p w:rsidR="00522488" w:rsidRDefault="00522488" w:rsidP="00522488">
            <w:pPr>
              <w:spacing w:before="0" w:after="0"/>
              <w:rPr>
                <w:sz w:val="18"/>
                <w:szCs w:val="18"/>
              </w:rPr>
            </w:pPr>
          </w:p>
          <w:p w:rsidR="00522488" w:rsidRPr="00D01EA6" w:rsidRDefault="00522488" w:rsidP="00522488">
            <w:pPr>
              <w:spacing w:before="0" w:after="0"/>
              <w:rPr>
                <w:sz w:val="18"/>
                <w:szCs w:val="18"/>
              </w:rPr>
            </w:pPr>
            <w:r w:rsidRPr="00D01EA6">
              <w:rPr>
                <w:sz w:val="18"/>
                <w:szCs w:val="18"/>
              </w:rPr>
              <w:t xml:space="preserve">AA-Med Pty Ltd 214482 </w:t>
            </w:r>
          </w:p>
          <w:p w:rsidR="00522488" w:rsidRPr="00D01EA6" w:rsidRDefault="00522488" w:rsidP="00522488">
            <w:pPr>
              <w:spacing w:before="0" w:after="0"/>
              <w:rPr>
                <w:sz w:val="18"/>
                <w:szCs w:val="18"/>
              </w:rPr>
            </w:pPr>
            <w:r w:rsidRPr="00D01EA6">
              <w:rPr>
                <w:sz w:val="18"/>
                <w:szCs w:val="18"/>
              </w:rPr>
              <w:t xml:space="preserve">Abacus ALS Pty Ltd 255352 256572 262298 </w:t>
            </w:r>
          </w:p>
          <w:p w:rsidR="00522488" w:rsidRPr="00D01EA6" w:rsidRDefault="00522488" w:rsidP="00522488">
            <w:pPr>
              <w:spacing w:before="0" w:after="0"/>
              <w:rPr>
                <w:sz w:val="18"/>
                <w:szCs w:val="18"/>
              </w:rPr>
            </w:pPr>
            <w:r w:rsidRPr="00D01EA6">
              <w:rPr>
                <w:sz w:val="18"/>
                <w:szCs w:val="18"/>
              </w:rPr>
              <w:t xml:space="preserve">Abbott Australasia Pty Ltd Molecular Division 196286 </w:t>
            </w:r>
          </w:p>
          <w:p w:rsidR="00522488" w:rsidRPr="00D01EA6" w:rsidRDefault="00522488" w:rsidP="00522488">
            <w:pPr>
              <w:spacing w:before="0" w:after="0"/>
              <w:rPr>
                <w:sz w:val="18"/>
                <w:szCs w:val="18"/>
              </w:rPr>
            </w:pPr>
            <w:r w:rsidRPr="00D01EA6">
              <w:rPr>
                <w:sz w:val="18"/>
                <w:szCs w:val="18"/>
              </w:rPr>
              <w:t xml:space="preserve">Biomerieux Australia Pty Ltd 217781 </w:t>
            </w:r>
          </w:p>
          <w:p w:rsidR="00522488" w:rsidRPr="00D01EA6" w:rsidRDefault="00522488" w:rsidP="00522488">
            <w:pPr>
              <w:spacing w:before="0" w:after="0"/>
              <w:rPr>
                <w:sz w:val="18"/>
                <w:szCs w:val="18"/>
              </w:rPr>
            </w:pPr>
            <w:r w:rsidRPr="00D01EA6">
              <w:rPr>
                <w:sz w:val="18"/>
                <w:szCs w:val="18"/>
              </w:rPr>
              <w:t xml:space="preserve">Bio-Strategy Pty Ltd 226487 </w:t>
            </w:r>
          </w:p>
          <w:p w:rsidR="00522488" w:rsidRPr="00D01EA6" w:rsidRDefault="00522488" w:rsidP="00522488">
            <w:pPr>
              <w:spacing w:before="0" w:after="0"/>
              <w:rPr>
                <w:sz w:val="18"/>
                <w:szCs w:val="18"/>
              </w:rPr>
            </w:pPr>
            <w:r w:rsidRPr="00D01EA6">
              <w:rPr>
                <w:sz w:val="18"/>
                <w:szCs w:val="18"/>
              </w:rPr>
              <w:t xml:space="preserve">Carl Zeiss Pty Ltd 266568 </w:t>
            </w:r>
          </w:p>
          <w:p w:rsidR="00522488" w:rsidRPr="00D01EA6" w:rsidRDefault="00522488" w:rsidP="00522488">
            <w:pPr>
              <w:spacing w:before="0" w:after="0"/>
              <w:rPr>
                <w:sz w:val="18"/>
                <w:szCs w:val="18"/>
              </w:rPr>
            </w:pPr>
            <w:r w:rsidRPr="00D01EA6">
              <w:rPr>
                <w:sz w:val="18"/>
                <w:szCs w:val="18"/>
              </w:rPr>
              <w:t xml:space="preserve">Cepheid Holdings Pty Ltd 226631 </w:t>
            </w:r>
          </w:p>
          <w:p w:rsidR="00522488" w:rsidRDefault="00522488" w:rsidP="00522488">
            <w:pPr>
              <w:spacing w:before="0" w:after="0"/>
              <w:rPr>
                <w:sz w:val="18"/>
                <w:szCs w:val="18"/>
              </w:rPr>
            </w:pPr>
            <w:r w:rsidRPr="00D01EA6">
              <w:rPr>
                <w:sz w:val="18"/>
                <w:szCs w:val="18"/>
              </w:rPr>
              <w:t>Dako Australia Pty Ltd 199420 264573</w:t>
            </w:r>
          </w:p>
          <w:p w:rsidR="00522488" w:rsidRDefault="00522488" w:rsidP="00522488">
            <w:pPr>
              <w:spacing w:before="0" w:after="0"/>
              <w:rPr>
                <w:sz w:val="18"/>
                <w:szCs w:val="18"/>
              </w:rPr>
            </w:pPr>
            <w:r>
              <w:rPr>
                <w:sz w:val="18"/>
                <w:szCs w:val="18"/>
              </w:rPr>
              <w:t xml:space="preserve">Diagnostic Solutions Pty Ltd </w:t>
            </w:r>
            <w:r w:rsidRPr="00C07862">
              <w:rPr>
                <w:sz w:val="18"/>
                <w:szCs w:val="18"/>
              </w:rPr>
              <w:t>201693</w:t>
            </w:r>
          </w:p>
          <w:p w:rsidR="00522488" w:rsidRDefault="00522488" w:rsidP="00522488">
            <w:pPr>
              <w:spacing w:before="0" w:after="0"/>
              <w:rPr>
                <w:sz w:val="18"/>
                <w:szCs w:val="18"/>
              </w:rPr>
            </w:pPr>
            <w:r>
              <w:rPr>
                <w:sz w:val="18"/>
                <w:szCs w:val="18"/>
              </w:rPr>
              <w:t xml:space="preserve">Diagnostic Technology Pty Ltd </w:t>
            </w:r>
            <w:r w:rsidRPr="00C07862">
              <w:rPr>
                <w:sz w:val="18"/>
                <w:szCs w:val="18"/>
              </w:rPr>
              <w:t>217262</w:t>
            </w:r>
          </w:p>
          <w:p w:rsidR="00522488" w:rsidRDefault="00522488" w:rsidP="00522488">
            <w:pPr>
              <w:spacing w:before="0" w:after="0"/>
              <w:rPr>
                <w:sz w:val="18"/>
                <w:szCs w:val="18"/>
              </w:rPr>
            </w:pPr>
            <w:r>
              <w:rPr>
                <w:sz w:val="18"/>
                <w:szCs w:val="18"/>
              </w:rPr>
              <w:t xml:space="preserve">Elitechgroup Australia Pty Ltd </w:t>
            </w:r>
            <w:r w:rsidRPr="00C07862">
              <w:rPr>
                <w:sz w:val="18"/>
                <w:szCs w:val="18"/>
              </w:rPr>
              <w:t>278596</w:t>
            </w:r>
          </w:p>
          <w:p w:rsidR="00522488" w:rsidRDefault="00522488" w:rsidP="00522488">
            <w:pPr>
              <w:spacing w:before="0" w:after="0"/>
              <w:rPr>
                <w:sz w:val="18"/>
                <w:szCs w:val="18"/>
              </w:rPr>
            </w:pPr>
            <w:r>
              <w:rPr>
                <w:sz w:val="18"/>
                <w:szCs w:val="18"/>
              </w:rPr>
              <w:t xml:space="preserve">Emergo Asia Pacific Pty Ltd </w:t>
            </w:r>
            <w:r w:rsidRPr="00C07862">
              <w:rPr>
                <w:sz w:val="18"/>
                <w:szCs w:val="18"/>
              </w:rPr>
              <w:t>262500</w:t>
            </w:r>
          </w:p>
          <w:p w:rsidR="00522488" w:rsidRDefault="00522488" w:rsidP="00522488">
            <w:pPr>
              <w:spacing w:before="0" w:after="0"/>
              <w:rPr>
                <w:sz w:val="18"/>
                <w:szCs w:val="18"/>
              </w:rPr>
            </w:pPr>
            <w:r>
              <w:rPr>
                <w:sz w:val="18"/>
                <w:szCs w:val="18"/>
              </w:rPr>
              <w:t xml:space="preserve">ESL Biosciences Australia 2102 Pty Ltd </w:t>
            </w:r>
            <w:r w:rsidRPr="00C07862">
              <w:rPr>
                <w:sz w:val="18"/>
                <w:szCs w:val="18"/>
              </w:rPr>
              <w:t>214427</w:t>
            </w:r>
          </w:p>
          <w:p w:rsidR="00522488" w:rsidRPr="00D01EA6" w:rsidRDefault="00522488" w:rsidP="00522488">
            <w:pPr>
              <w:spacing w:before="0" w:after="0"/>
              <w:rPr>
                <w:sz w:val="18"/>
                <w:szCs w:val="18"/>
              </w:rPr>
            </w:pPr>
            <w:r>
              <w:rPr>
                <w:sz w:val="18"/>
                <w:szCs w:val="18"/>
              </w:rPr>
              <w:t xml:space="preserve">Illumina Incorporated </w:t>
            </w:r>
            <w:r w:rsidRPr="00960B9C">
              <w:rPr>
                <w:sz w:val="18"/>
                <w:szCs w:val="18"/>
              </w:rPr>
              <w:t>276134</w:t>
            </w:r>
            <w:r w:rsidRPr="00D01EA6">
              <w:rPr>
                <w:sz w:val="18"/>
                <w:szCs w:val="18"/>
              </w:rPr>
              <w:t xml:space="preserve"> </w:t>
            </w:r>
          </w:p>
          <w:p w:rsidR="00522488" w:rsidRPr="00D01EA6" w:rsidRDefault="00522488" w:rsidP="00522488">
            <w:pPr>
              <w:spacing w:before="0" w:after="0"/>
              <w:rPr>
                <w:sz w:val="18"/>
                <w:szCs w:val="18"/>
              </w:rPr>
            </w:pPr>
            <w:r w:rsidRPr="00D01EA6">
              <w:rPr>
                <w:sz w:val="18"/>
                <w:szCs w:val="18"/>
              </w:rPr>
              <w:t xml:space="preserve">In Vitro Technologies Pty Ltd 225995 </w:t>
            </w:r>
          </w:p>
          <w:p w:rsidR="00522488" w:rsidRPr="00D01EA6" w:rsidRDefault="00522488" w:rsidP="00522488">
            <w:pPr>
              <w:spacing w:before="0" w:after="0"/>
              <w:rPr>
                <w:sz w:val="18"/>
                <w:szCs w:val="18"/>
              </w:rPr>
            </w:pPr>
            <w:r w:rsidRPr="00D01EA6">
              <w:rPr>
                <w:sz w:val="18"/>
                <w:szCs w:val="18"/>
              </w:rPr>
              <w:t xml:space="preserve">Key Diagnostics Pty Ltd 270292 </w:t>
            </w:r>
          </w:p>
          <w:p w:rsidR="00522488" w:rsidRPr="00D01EA6" w:rsidRDefault="00522488" w:rsidP="00522488">
            <w:pPr>
              <w:spacing w:before="0" w:after="0"/>
              <w:rPr>
                <w:sz w:val="18"/>
                <w:szCs w:val="18"/>
              </w:rPr>
            </w:pPr>
            <w:r w:rsidRPr="00D01EA6">
              <w:rPr>
                <w:sz w:val="18"/>
                <w:szCs w:val="18"/>
              </w:rPr>
              <w:t xml:space="preserve">Leica Microsystems Pty Ltd 191254 </w:t>
            </w:r>
          </w:p>
          <w:p w:rsidR="00522488" w:rsidRPr="00D01EA6" w:rsidRDefault="00522488" w:rsidP="00522488">
            <w:pPr>
              <w:spacing w:before="0" w:after="0"/>
              <w:rPr>
                <w:sz w:val="18"/>
                <w:szCs w:val="18"/>
              </w:rPr>
            </w:pPr>
            <w:r>
              <w:rPr>
                <w:sz w:val="18"/>
                <w:szCs w:val="18"/>
              </w:rPr>
              <w:t xml:space="preserve">PerkinElmer </w:t>
            </w:r>
            <w:r w:rsidRPr="00C07862">
              <w:rPr>
                <w:sz w:val="18"/>
                <w:szCs w:val="18"/>
              </w:rPr>
              <w:t>233472</w:t>
            </w:r>
          </w:p>
          <w:p w:rsidR="00522488" w:rsidRDefault="00522488" w:rsidP="00522488">
            <w:pPr>
              <w:spacing w:before="0" w:after="0"/>
              <w:rPr>
                <w:sz w:val="18"/>
                <w:szCs w:val="18"/>
              </w:rPr>
            </w:pPr>
            <w:r w:rsidRPr="00D01EA6">
              <w:rPr>
                <w:sz w:val="18"/>
                <w:szCs w:val="18"/>
              </w:rPr>
              <w:t xml:space="preserve">Qiagen Pty Ltd 214994 226453 238792 </w:t>
            </w:r>
          </w:p>
          <w:p w:rsidR="00522488" w:rsidRDefault="00522488" w:rsidP="00522488">
            <w:pPr>
              <w:spacing w:before="0" w:after="0"/>
              <w:rPr>
                <w:sz w:val="18"/>
                <w:szCs w:val="18"/>
              </w:rPr>
            </w:pPr>
            <w:r w:rsidRPr="00D01EA6">
              <w:rPr>
                <w:sz w:val="18"/>
                <w:szCs w:val="18"/>
              </w:rPr>
              <w:t xml:space="preserve">Roche Diagnostics Australia Pty Limited 180933 192394 192395 194319 196363 </w:t>
            </w:r>
          </w:p>
          <w:p w:rsidR="00522488" w:rsidRPr="00D01EA6" w:rsidRDefault="00522488" w:rsidP="00522488">
            <w:pPr>
              <w:spacing w:before="0" w:after="0"/>
              <w:rPr>
                <w:sz w:val="18"/>
                <w:szCs w:val="18"/>
              </w:rPr>
            </w:pPr>
            <w:r w:rsidRPr="00D01EA6">
              <w:rPr>
                <w:sz w:val="18"/>
                <w:szCs w:val="18"/>
              </w:rPr>
              <w:t xml:space="preserve">Thermo Fisher Scientific Australia Pty Ltd 227503 256113 </w:t>
            </w:r>
          </w:p>
          <w:p w:rsidR="00522488" w:rsidRPr="004E557B" w:rsidRDefault="00522488" w:rsidP="00522488">
            <w:pPr>
              <w:spacing w:before="0" w:after="0"/>
              <w:rPr>
                <w:sz w:val="18"/>
                <w:szCs w:val="18"/>
              </w:rPr>
            </w:pPr>
            <w:r w:rsidRPr="00D01EA6">
              <w:rPr>
                <w:sz w:val="18"/>
                <w:szCs w:val="18"/>
              </w:rPr>
              <w:t>Vela Diagnostics Australia Pty Ltd 228024 235394</w:t>
            </w:r>
          </w:p>
        </w:tc>
      </w:tr>
    </w:tbl>
    <w:p w:rsidR="0043654D" w:rsidRPr="0043654D" w:rsidRDefault="0043654D" w:rsidP="009D6304">
      <w:pPr>
        <w:spacing w:before="0" w:after="0"/>
        <w:rPr>
          <w:szCs w:val="20"/>
        </w:rPr>
      </w:pPr>
    </w:p>
    <w:p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p>
    <w:p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p>
    <w:p w:rsidR="00C0796F" w:rsidRDefault="00C0796F" w:rsidP="00530204">
      <w:pPr>
        <w:pStyle w:val="Heading2"/>
      </w:pPr>
      <w:r w:rsidRPr="0043654D">
        <w:lastRenderedPageBreak/>
        <w:t>If the therapeutic good has not been listed, registered or included in the ARTG, is the therapeutic good in the process of being considered for inclusion by the TGA?</w:t>
      </w:r>
    </w:p>
    <w:p w:rsidR="00463433" w:rsidRPr="00463433" w:rsidRDefault="00463433" w:rsidP="00463433">
      <w:pPr>
        <w:ind w:left="284"/>
      </w:pPr>
      <w:r>
        <w:t xml:space="preserve">N/A </w:t>
      </w:r>
    </w:p>
    <w:p w:rsidR="0047581D" w:rsidRDefault="00463433" w:rsidP="0047581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47581D">
        <w:rPr>
          <w:szCs w:val="20"/>
        </w:rPr>
        <w:t xml:space="preserve"> Yes (please provide details below)</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No</w:t>
      </w:r>
    </w:p>
    <w:p w:rsidR="0047581D" w:rsidRDefault="0047581D" w:rsidP="0047581D">
      <w:pPr>
        <w:spacing w:before="0" w:after="0"/>
        <w:rPr>
          <w:b/>
          <w:szCs w:val="20"/>
        </w:rPr>
      </w:pPr>
    </w:p>
    <w:p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463433" w:rsidRPr="00463433" w:rsidRDefault="00463433" w:rsidP="00463433">
      <w:pPr>
        <w:ind w:left="284"/>
      </w:pPr>
      <w:r>
        <w:t>N/A</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Yes (please provide details below)</w:t>
      </w:r>
    </w:p>
    <w:p w:rsidR="000A110D" w:rsidRDefault="00463433" w:rsidP="000A110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0A110D">
        <w:rPr>
          <w:szCs w:val="20"/>
        </w:rPr>
        <w:t xml:space="preserve"> No</w:t>
      </w:r>
    </w:p>
    <w:p w:rsidR="000A110D" w:rsidRDefault="000A110D" w:rsidP="00971EDB">
      <w:pPr>
        <w:spacing w:before="0" w:after="0"/>
        <w:rPr>
          <w:szCs w:val="20"/>
        </w:rPr>
      </w:pPr>
    </w:p>
    <w:p w:rsidR="00F83A9D" w:rsidRPr="00154B00" w:rsidRDefault="00F83A9D" w:rsidP="00F83A9D">
      <w:pPr>
        <w:rPr>
          <w:szCs w:val="20"/>
        </w:rPr>
      </w:pPr>
    </w:p>
    <w:p w:rsidR="00DD308E" w:rsidRDefault="00DD308E">
      <w:pPr>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rsidR="00DD308E" w:rsidRPr="00C776B1" w:rsidRDefault="00B17CBE" w:rsidP="00F222BE">
      <w:pPr>
        <w:pStyle w:val="Heading1"/>
      </w:pPr>
      <w:r>
        <w:lastRenderedPageBreak/>
        <w:t>PART 4</w:t>
      </w:r>
      <w:r w:rsidR="00DD308E">
        <w:t xml:space="preserve"> – SUMMARY</w:t>
      </w:r>
      <w:r w:rsidR="00DD308E" w:rsidRPr="00C776B1">
        <w:t xml:space="preserve"> OF EVIDENCE</w:t>
      </w:r>
    </w:p>
    <w:p w:rsidR="00522488" w:rsidRPr="009D6304" w:rsidRDefault="00DD308E" w:rsidP="009D6304">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2"/>
        <w:tblW w:w="0" w:type="auto"/>
        <w:tblInd w:w="-5" w:type="dxa"/>
        <w:tblLayout w:type="fixed"/>
        <w:tblLook w:val="04A0" w:firstRow="1" w:lastRow="0" w:firstColumn="1" w:lastColumn="0" w:noHBand="0" w:noVBand="1"/>
        <w:tblCaption w:val="Summary of Evidence"/>
        <w:tblDescription w:val="Summary of Evidence"/>
      </w:tblPr>
      <w:tblGrid>
        <w:gridCol w:w="851"/>
        <w:gridCol w:w="1389"/>
        <w:gridCol w:w="2438"/>
        <w:gridCol w:w="3686"/>
        <w:gridCol w:w="3402"/>
        <w:gridCol w:w="2126"/>
      </w:tblGrid>
      <w:tr w:rsidR="00522488" w:rsidRPr="00522488" w:rsidTr="00B373F3">
        <w:tc>
          <w:tcPr>
            <w:tcW w:w="851" w:type="dxa"/>
          </w:tcPr>
          <w:p w:rsidR="00522488" w:rsidRPr="00522488" w:rsidRDefault="00522488" w:rsidP="00522488">
            <w:pPr>
              <w:spacing w:before="0" w:after="0"/>
              <w:rPr>
                <w:b/>
                <w:szCs w:val="20"/>
              </w:rPr>
            </w:pPr>
          </w:p>
        </w:tc>
        <w:tc>
          <w:tcPr>
            <w:tcW w:w="1389" w:type="dxa"/>
          </w:tcPr>
          <w:p w:rsidR="00522488" w:rsidRPr="00522488" w:rsidRDefault="00522488" w:rsidP="00522488">
            <w:pPr>
              <w:spacing w:before="0" w:after="0"/>
              <w:rPr>
                <w:b/>
                <w:szCs w:val="20"/>
              </w:rPr>
            </w:pPr>
            <w:r w:rsidRPr="00522488">
              <w:rPr>
                <w:b/>
                <w:szCs w:val="20"/>
              </w:rPr>
              <w:t>Type of study design*</w:t>
            </w:r>
          </w:p>
        </w:tc>
        <w:tc>
          <w:tcPr>
            <w:tcW w:w="2438" w:type="dxa"/>
          </w:tcPr>
          <w:p w:rsidR="00522488" w:rsidRPr="00522488" w:rsidRDefault="00522488" w:rsidP="00522488">
            <w:pPr>
              <w:spacing w:before="0" w:after="0"/>
              <w:rPr>
                <w:b/>
                <w:szCs w:val="20"/>
              </w:rPr>
            </w:pPr>
            <w:r w:rsidRPr="00522488">
              <w:rPr>
                <w:b/>
                <w:szCs w:val="20"/>
              </w:rPr>
              <w:t>Title of journal article  or research project (including any trial identifier or study lead if relevant)</w:t>
            </w:r>
          </w:p>
        </w:tc>
        <w:tc>
          <w:tcPr>
            <w:tcW w:w="3686" w:type="dxa"/>
          </w:tcPr>
          <w:p w:rsidR="00522488" w:rsidRPr="00522488" w:rsidRDefault="00522488" w:rsidP="00522488">
            <w:pPr>
              <w:spacing w:before="0" w:after="0"/>
              <w:rPr>
                <w:b/>
                <w:szCs w:val="20"/>
              </w:rPr>
            </w:pPr>
            <w:r w:rsidRPr="00522488">
              <w:rPr>
                <w:b/>
                <w:szCs w:val="20"/>
              </w:rPr>
              <w:t>Short description of research  (max 50 words)**</w:t>
            </w:r>
          </w:p>
        </w:tc>
        <w:tc>
          <w:tcPr>
            <w:tcW w:w="3402" w:type="dxa"/>
          </w:tcPr>
          <w:p w:rsidR="00522488" w:rsidRPr="00522488" w:rsidRDefault="00522488" w:rsidP="00522488">
            <w:pPr>
              <w:spacing w:before="0" w:after="0"/>
              <w:rPr>
                <w:b/>
                <w:szCs w:val="20"/>
              </w:rPr>
            </w:pPr>
            <w:r w:rsidRPr="00522488">
              <w:rPr>
                <w:b/>
                <w:szCs w:val="20"/>
              </w:rPr>
              <w:t>Website link to journal article or research (if available)</w:t>
            </w:r>
          </w:p>
        </w:tc>
        <w:tc>
          <w:tcPr>
            <w:tcW w:w="2126" w:type="dxa"/>
          </w:tcPr>
          <w:p w:rsidR="00522488" w:rsidRPr="00522488" w:rsidRDefault="00522488" w:rsidP="00522488">
            <w:pPr>
              <w:spacing w:before="0" w:after="0"/>
              <w:rPr>
                <w:b/>
                <w:szCs w:val="20"/>
              </w:rPr>
            </w:pPr>
            <w:r w:rsidRPr="00522488">
              <w:rPr>
                <w:b/>
                <w:szCs w:val="20"/>
              </w:rPr>
              <w:t>Date of publication***</w:t>
            </w:r>
          </w:p>
        </w:tc>
      </w:tr>
      <w:tr w:rsidR="00522488" w:rsidRPr="00522488" w:rsidTr="00B373F3">
        <w:trPr>
          <w:trHeight w:val="3950"/>
        </w:trPr>
        <w:tc>
          <w:tcPr>
            <w:tcW w:w="851" w:type="dxa"/>
          </w:tcPr>
          <w:p w:rsidR="00522488" w:rsidRPr="00522488" w:rsidRDefault="00522488" w:rsidP="00522488">
            <w:pPr>
              <w:spacing w:before="0" w:after="0"/>
              <w:rPr>
                <w:szCs w:val="20"/>
              </w:rPr>
            </w:pPr>
            <w:r w:rsidRPr="00522488">
              <w:rPr>
                <w:szCs w:val="20"/>
              </w:rPr>
              <w:t>1.</w:t>
            </w:r>
          </w:p>
        </w:tc>
        <w:tc>
          <w:tcPr>
            <w:tcW w:w="1389" w:type="dxa"/>
          </w:tcPr>
          <w:p w:rsidR="00522488" w:rsidRPr="00522488" w:rsidRDefault="00522488" w:rsidP="00522488">
            <w:pPr>
              <w:spacing w:before="0" w:after="0"/>
              <w:rPr>
                <w:b/>
                <w:szCs w:val="20"/>
              </w:rPr>
            </w:pPr>
            <w:r w:rsidRPr="00522488">
              <w:rPr>
                <w:b/>
                <w:szCs w:val="20"/>
              </w:rPr>
              <w:t>Health economics study</w:t>
            </w:r>
          </w:p>
        </w:tc>
        <w:tc>
          <w:tcPr>
            <w:tcW w:w="2438" w:type="dxa"/>
          </w:tcPr>
          <w:p w:rsidR="00522488" w:rsidRPr="00522488" w:rsidRDefault="00522488" w:rsidP="00522488">
            <w:pPr>
              <w:spacing w:before="0" w:after="0"/>
              <w:rPr>
                <w:b/>
                <w:szCs w:val="20"/>
              </w:rPr>
            </w:pPr>
            <w:r w:rsidRPr="00522488">
              <w:rPr>
                <w:b/>
                <w:szCs w:val="20"/>
              </w:rPr>
              <w:t>Sabatini LM, Mathews C, Ptak D, et al: Genomic Sequencing Procedure Microcosting Analysis and Health Economic Cost-Impact Analysis: A Report of the Association for Molecular Pathology. J of Mol Diagn 2016;18:319-328</w:t>
            </w:r>
          </w:p>
        </w:tc>
        <w:tc>
          <w:tcPr>
            <w:tcW w:w="3686" w:type="dxa"/>
          </w:tcPr>
          <w:p w:rsidR="00522488" w:rsidRPr="00522488" w:rsidRDefault="00522488" w:rsidP="00522488">
            <w:pPr>
              <w:spacing w:before="0" w:after="0"/>
              <w:rPr>
                <w:b/>
                <w:szCs w:val="20"/>
              </w:rPr>
            </w:pPr>
            <w:r w:rsidRPr="00522488">
              <w:rPr>
                <w:b/>
                <w:szCs w:val="20"/>
              </w:rPr>
              <w:t xml:space="preserve">US Study by Association for Molecular Pathology on cost and value analysis of specific genomic sequencing procedures (GSPs) gathered from representative laboratories’ data. Cost-impact models for three clinical scenarios were generated -advanced non–small-cell lung cancer sensorineural hearing loss, and paediatric neurodevelopmental disorders of unknown genetic aetiology. </w:t>
            </w:r>
          </w:p>
        </w:tc>
        <w:tc>
          <w:tcPr>
            <w:tcW w:w="3402" w:type="dxa"/>
          </w:tcPr>
          <w:p w:rsidR="00522488" w:rsidRPr="00522488" w:rsidRDefault="00C470ED" w:rsidP="00522488">
            <w:pPr>
              <w:spacing w:before="0" w:after="0"/>
              <w:rPr>
                <w:b/>
                <w:szCs w:val="20"/>
              </w:rPr>
            </w:pPr>
            <w:hyperlink r:id="rId12" w:history="1">
              <w:r w:rsidR="00CF5B7E">
                <w:rPr>
                  <w:b/>
                  <w:color w:val="0000FF" w:themeColor="hyperlink"/>
                  <w:szCs w:val="20"/>
                  <w:u w:val="single"/>
                </w:rPr>
                <w:t>Genomic Sequencing Procedure Microcosting Analysis and Health Economic Cost-Impact Analysis: A Report of the Association for Molecular Pathology</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t>May 2016</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t>2.</w:t>
            </w:r>
          </w:p>
        </w:tc>
        <w:tc>
          <w:tcPr>
            <w:tcW w:w="1389" w:type="dxa"/>
          </w:tcPr>
          <w:p w:rsidR="00522488" w:rsidRPr="00522488" w:rsidRDefault="00522488" w:rsidP="00522488">
            <w:pPr>
              <w:spacing w:before="0" w:after="0"/>
              <w:rPr>
                <w:b/>
                <w:szCs w:val="20"/>
              </w:rPr>
            </w:pPr>
            <w:r w:rsidRPr="00522488">
              <w:rPr>
                <w:b/>
                <w:szCs w:val="20"/>
              </w:rPr>
              <w:t>Observational study</w:t>
            </w:r>
          </w:p>
        </w:tc>
        <w:tc>
          <w:tcPr>
            <w:tcW w:w="2438" w:type="dxa"/>
          </w:tcPr>
          <w:p w:rsidR="00522488" w:rsidRPr="00522488" w:rsidRDefault="00522488" w:rsidP="00522488">
            <w:pPr>
              <w:spacing w:before="0" w:after="0"/>
              <w:rPr>
                <w:b/>
                <w:szCs w:val="20"/>
              </w:rPr>
            </w:pPr>
            <w:r w:rsidRPr="00522488">
              <w:rPr>
                <w:b/>
                <w:szCs w:val="20"/>
              </w:rPr>
              <w:t>Salto-Tellez, M. and D. Gonzalez de Castro, Next-generation sequencing: a change of paradigm in molecular diagnostic validation. The J Path, 2014; 234(1): p. 5-10.</w:t>
            </w:r>
          </w:p>
        </w:tc>
        <w:tc>
          <w:tcPr>
            <w:tcW w:w="3686" w:type="dxa"/>
          </w:tcPr>
          <w:p w:rsidR="00522488" w:rsidRPr="00522488" w:rsidRDefault="00522488" w:rsidP="00522488">
            <w:pPr>
              <w:spacing w:before="0" w:after="0"/>
              <w:rPr>
                <w:b/>
                <w:szCs w:val="20"/>
              </w:rPr>
            </w:pPr>
            <w:r w:rsidRPr="00522488">
              <w:rPr>
                <w:b/>
                <w:szCs w:val="20"/>
              </w:rPr>
              <w:t>Review of issues to be considered in the implementation of Next-Generation Sequencing (NGS) including validation, diagnostic accuracy and cost-effectiveness.</w:t>
            </w:r>
          </w:p>
          <w:p w:rsidR="00522488" w:rsidRPr="00522488" w:rsidRDefault="00522488" w:rsidP="00522488">
            <w:pPr>
              <w:spacing w:before="0" w:after="0"/>
              <w:rPr>
                <w:b/>
                <w:szCs w:val="20"/>
              </w:rPr>
            </w:pPr>
          </w:p>
        </w:tc>
        <w:tc>
          <w:tcPr>
            <w:tcW w:w="3402" w:type="dxa"/>
          </w:tcPr>
          <w:p w:rsidR="00522488" w:rsidRPr="00522488" w:rsidRDefault="00C470ED" w:rsidP="00522488">
            <w:pPr>
              <w:spacing w:before="0" w:after="0"/>
              <w:rPr>
                <w:b/>
                <w:szCs w:val="20"/>
              </w:rPr>
            </w:pPr>
            <w:hyperlink r:id="rId13" w:history="1">
              <w:r w:rsidR="00CF5B7E">
                <w:rPr>
                  <w:b/>
                  <w:color w:val="0000FF" w:themeColor="hyperlink"/>
                  <w:szCs w:val="20"/>
                  <w:u w:val="single"/>
                </w:rPr>
                <w:t>Next-generation sequencing: a change of paradigm in molecular</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t>2014</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t>3.</w:t>
            </w:r>
          </w:p>
        </w:tc>
        <w:tc>
          <w:tcPr>
            <w:tcW w:w="1389" w:type="dxa"/>
          </w:tcPr>
          <w:p w:rsidR="00522488" w:rsidRPr="00522488" w:rsidRDefault="00522488" w:rsidP="00522488">
            <w:pPr>
              <w:spacing w:before="0" w:after="0"/>
              <w:rPr>
                <w:b/>
                <w:szCs w:val="20"/>
              </w:rPr>
            </w:pPr>
            <w:r w:rsidRPr="00522488">
              <w:rPr>
                <w:b/>
                <w:szCs w:val="20"/>
              </w:rPr>
              <w:t>Study of diagnostic accuracy</w:t>
            </w:r>
          </w:p>
        </w:tc>
        <w:tc>
          <w:tcPr>
            <w:tcW w:w="2438" w:type="dxa"/>
          </w:tcPr>
          <w:p w:rsidR="00522488" w:rsidRPr="00522488" w:rsidRDefault="00522488" w:rsidP="00522488">
            <w:pPr>
              <w:spacing w:before="0" w:after="0"/>
              <w:rPr>
                <w:b/>
                <w:szCs w:val="20"/>
              </w:rPr>
            </w:pPr>
            <w:r w:rsidRPr="00522488">
              <w:rPr>
                <w:b/>
                <w:szCs w:val="20"/>
              </w:rPr>
              <w:t xml:space="preserve">Tran B, Brown AM, Bedard PL, Winquist E, Goss GD, Hotte SJ, et al. Feasibility </w:t>
            </w:r>
            <w:r w:rsidRPr="00522488">
              <w:rPr>
                <w:b/>
                <w:szCs w:val="20"/>
              </w:rPr>
              <w:lastRenderedPageBreak/>
              <w:t>of real time next generation sequencing of cancer genes linked to drug response: results from a clinical trial. Int J Cancer 2013;132(7):1547-55.</w:t>
            </w:r>
          </w:p>
        </w:tc>
        <w:tc>
          <w:tcPr>
            <w:tcW w:w="3686" w:type="dxa"/>
          </w:tcPr>
          <w:p w:rsidR="00522488" w:rsidRPr="00522488" w:rsidRDefault="00522488" w:rsidP="00522488">
            <w:pPr>
              <w:spacing w:before="0" w:after="0"/>
              <w:rPr>
                <w:b/>
                <w:szCs w:val="20"/>
              </w:rPr>
            </w:pPr>
            <w:r w:rsidRPr="00522488">
              <w:rPr>
                <w:b/>
                <w:szCs w:val="20"/>
              </w:rPr>
              <w:lastRenderedPageBreak/>
              <w:t xml:space="preserve">Study of three feasibility of incorporating genomic profiling into patient management (50 patients from four </w:t>
            </w:r>
            <w:r w:rsidRPr="00522488">
              <w:rPr>
                <w:b/>
                <w:szCs w:val="20"/>
              </w:rPr>
              <w:lastRenderedPageBreak/>
              <w:t>cancer centres). Samples analysed using three technologies: targeted exon sequencing using Pacific Biosciences PacBio RS, multiplex somatic mutation genotyping using Sequenom MassARRAY and Sanger sequencing. Nineteen actionable mutations were identified in 16 (32%) patients. Across technologies, results were in agreement in 100% of biopsy specimens and 95% of archival specimens. The study demonstrated that the use of next generation sequencing for real-time genomic profiling in advanced cancer patients is feasible.</w:t>
            </w:r>
          </w:p>
        </w:tc>
        <w:tc>
          <w:tcPr>
            <w:tcW w:w="3402" w:type="dxa"/>
          </w:tcPr>
          <w:p w:rsidR="00522488" w:rsidRPr="00522488" w:rsidRDefault="00C470ED" w:rsidP="00522488">
            <w:pPr>
              <w:spacing w:before="0" w:after="0"/>
              <w:rPr>
                <w:b/>
                <w:szCs w:val="20"/>
              </w:rPr>
            </w:pPr>
            <w:hyperlink r:id="rId14" w:history="1">
              <w:r w:rsidR="00D11D37">
                <w:rPr>
                  <w:b/>
                  <w:color w:val="0000FF" w:themeColor="hyperlink"/>
                  <w:szCs w:val="20"/>
                  <w:u w:val="single"/>
                </w:rPr>
                <w:t xml:space="preserve">Feasibility of real time next generation sequencing of cancer </w:t>
              </w:r>
              <w:r w:rsidR="00D11D37">
                <w:rPr>
                  <w:b/>
                  <w:color w:val="0000FF" w:themeColor="hyperlink"/>
                  <w:szCs w:val="20"/>
                  <w:u w:val="single"/>
                </w:rPr>
                <w:lastRenderedPageBreak/>
                <w:t>genes linked to drug response: results from a clinical trial</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lastRenderedPageBreak/>
              <w:t>2013</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t>4.</w:t>
            </w:r>
          </w:p>
        </w:tc>
        <w:tc>
          <w:tcPr>
            <w:tcW w:w="1389" w:type="dxa"/>
          </w:tcPr>
          <w:p w:rsidR="00522488" w:rsidRPr="00522488" w:rsidRDefault="00522488" w:rsidP="00522488">
            <w:pPr>
              <w:spacing w:before="0" w:after="0"/>
              <w:rPr>
                <w:b/>
                <w:szCs w:val="20"/>
              </w:rPr>
            </w:pPr>
            <w:r w:rsidRPr="00522488">
              <w:rPr>
                <w:b/>
                <w:szCs w:val="20"/>
              </w:rPr>
              <w:t>Clinical practice review</w:t>
            </w:r>
          </w:p>
        </w:tc>
        <w:tc>
          <w:tcPr>
            <w:tcW w:w="2438" w:type="dxa"/>
          </w:tcPr>
          <w:p w:rsidR="00522488" w:rsidRPr="00522488" w:rsidRDefault="00522488" w:rsidP="00522488">
            <w:pPr>
              <w:spacing w:before="0" w:after="0"/>
              <w:rPr>
                <w:b/>
                <w:szCs w:val="20"/>
              </w:rPr>
            </w:pPr>
            <w:r w:rsidRPr="00522488">
              <w:rPr>
                <w:b/>
                <w:szCs w:val="20"/>
              </w:rPr>
              <w:t>Harris G, O'Toole S, George P, et al: Massive Parallel Sequencing of Solid Tumours - Challenges and Opportunities for Pathologists. Histopathology, online Aug 2016 ahead of publication, doi: 10.1111/his.13067.</w:t>
            </w:r>
          </w:p>
        </w:tc>
        <w:tc>
          <w:tcPr>
            <w:tcW w:w="3686" w:type="dxa"/>
          </w:tcPr>
          <w:p w:rsidR="00522488" w:rsidRPr="00522488" w:rsidRDefault="00522488" w:rsidP="00522488">
            <w:pPr>
              <w:spacing w:before="0" w:after="0"/>
              <w:rPr>
                <w:b/>
                <w:szCs w:val="20"/>
              </w:rPr>
            </w:pPr>
            <w:r w:rsidRPr="00522488">
              <w:rPr>
                <w:b/>
                <w:szCs w:val="20"/>
              </w:rPr>
              <w:t>Review of the role of Massive Parallel Sequencing (MPS, also referred to as Next Generation Sequencing NGS). to identify mutations/ variants and tissue RNA expression profiles for diagnosis, prognostication and targeted therapy stratification.</w:t>
            </w:r>
          </w:p>
        </w:tc>
        <w:tc>
          <w:tcPr>
            <w:tcW w:w="3402" w:type="dxa"/>
          </w:tcPr>
          <w:p w:rsidR="00522488" w:rsidRPr="00522488" w:rsidRDefault="00C470ED" w:rsidP="00522488">
            <w:pPr>
              <w:spacing w:before="0" w:after="0"/>
              <w:rPr>
                <w:b/>
                <w:szCs w:val="20"/>
              </w:rPr>
            </w:pPr>
            <w:hyperlink r:id="rId15" w:history="1">
              <w:r w:rsidR="00D11D37">
                <w:rPr>
                  <w:b/>
                  <w:color w:val="0000FF" w:themeColor="hyperlink"/>
                  <w:szCs w:val="20"/>
                  <w:u w:val="single"/>
                </w:rPr>
                <w:t>Massive parallel sequencing of solid tumours – challenges and opportunities for pathologists</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t>Aug 2016</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t>5.</w:t>
            </w:r>
          </w:p>
        </w:tc>
        <w:tc>
          <w:tcPr>
            <w:tcW w:w="1389" w:type="dxa"/>
          </w:tcPr>
          <w:p w:rsidR="00522488" w:rsidRPr="00522488" w:rsidRDefault="00522488" w:rsidP="00522488">
            <w:pPr>
              <w:spacing w:before="0" w:after="0"/>
              <w:rPr>
                <w:b/>
                <w:szCs w:val="20"/>
              </w:rPr>
            </w:pPr>
            <w:r w:rsidRPr="00522488">
              <w:rPr>
                <w:b/>
                <w:szCs w:val="20"/>
              </w:rPr>
              <w:t>Study of diagnostic accuracy</w:t>
            </w:r>
          </w:p>
        </w:tc>
        <w:tc>
          <w:tcPr>
            <w:tcW w:w="2438" w:type="dxa"/>
          </w:tcPr>
          <w:p w:rsidR="00522488" w:rsidRPr="00522488" w:rsidRDefault="00522488" w:rsidP="00522488">
            <w:pPr>
              <w:spacing w:before="0" w:after="0"/>
              <w:rPr>
                <w:b/>
                <w:szCs w:val="20"/>
              </w:rPr>
            </w:pPr>
            <w:r w:rsidRPr="00522488">
              <w:rPr>
                <w:b/>
                <w:szCs w:val="20"/>
              </w:rPr>
              <w:t>Jeck, W.R., et al., Targeted next generation sequencing identifies clinically actionable mutations in patients with melanoma. Pigment Cell &amp; Melanoma Research, 2014; 27(4):653-663.</w:t>
            </w:r>
          </w:p>
        </w:tc>
        <w:tc>
          <w:tcPr>
            <w:tcW w:w="3686" w:type="dxa"/>
          </w:tcPr>
          <w:p w:rsidR="00522488" w:rsidRPr="00522488" w:rsidRDefault="00522488" w:rsidP="00522488">
            <w:pPr>
              <w:spacing w:before="0" w:after="0"/>
              <w:rPr>
                <w:b/>
                <w:szCs w:val="20"/>
              </w:rPr>
            </w:pPr>
            <w:r w:rsidRPr="00522488">
              <w:rPr>
                <w:b/>
                <w:szCs w:val="20"/>
              </w:rPr>
              <w:t xml:space="preserve">Study of genomic analysis using NGS of 248 genes, including all those of known clinical significance in melanoma. Mutations in melanoma cell lines correlated with their sensitivity to corresponding small molecule inhibitors. Actionable mutations were found in 89% of the tumor tissues analysed, 56% of which would not be identified by standard-of-care approaches. The study </w:t>
            </w:r>
            <w:r w:rsidRPr="00522488">
              <w:rPr>
                <w:b/>
                <w:szCs w:val="20"/>
              </w:rPr>
              <w:lastRenderedPageBreak/>
              <w:t>demonstrated the role of targeted sequencing for clinical use in melanoma.</w:t>
            </w:r>
          </w:p>
        </w:tc>
        <w:tc>
          <w:tcPr>
            <w:tcW w:w="3402" w:type="dxa"/>
          </w:tcPr>
          <w:p w:rsidR="00522488" w:rsidRPr="00522488" w:rsidRDefault="00C470ED" w:rsidP="00522488">
            <w:pPr>
              <w:spacing w:before="0" w:after="0"/>
              <w:rPr>
                <w:b/>
                <w:szCs w:val="20"/>
              </w:rPr>
            </w:pPr>
            <w:hyperlink r:id="rId16" w:history="1">
              <w:r w:rsidR="00D11D37">
                <w:rPr>
                  <w:b/>
                  <w:color w:val="0000FF" w:themeColor="hyperlink"/>
                  <w:szCs w:val="20"/>
                  <w:u w:val="single"/>
                </w:rPr>
                <w:t>Targeted next generation sequencing identifies clinically actionable mutations in patients with melanoma</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t>2014</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t>6.</w:t>
            </w:r>
          </w:p>
        </w:tc>
        <w:tc>
          <w:tcPr>
            <w:tcW w:w="1389" w:type="dxa"/>
          </w:tcPr>
          <w:p w:rsidR="00522488" w:rsidRPr="00522488" w:rsidRDefault="00522488" w:rsidP="00522488">
            <w:pPr>
              <w:spacing w:before="0" w:after="0"/>
              <w:rPr>
                <w:b/>
                <w:szCs w:val="20"/>
              </w:rPr>
            </w:pPr>
            <w:r w:rsidRPr="00522488">
              <w:rPr>
                <w:b/>
                <w:szCs w:val="20"/>
              </w:rPr>
              <w:t>Study of diagnostic accuracy</w:t>
            </w:r>
          </w:p>
        </w:tc>
        <w:tc>
          <w:tcPr>
            <w:tcW w:w="2438" w:type="dxa"/>
          </w:tcPr>
          <w:p w:rsidR="00522488" w:rsidRPr="00522488" w:rsidRDefault="00522488" w:rsidP="00522488">
            <w:pPr>
              <w:spacing w:before="0" w:after="0"/>
              <w:rPr>
                <w:b/>
                <w:szCs w:val="20"/>
              </w:rPr>
            </w:pPr>
            <w:r w:rsidRPr="00522488">
              <w:rPr>
                <w:b/>
                <w:szCs w:val="20"/>
              </w:rPr>
              <w:t>Barnet, M.B., et al., EGFR-Co-Mutated Advanced NSCLC and Response to EGFR Tyrosine Kinase Inhibitors. J Thorac Oncol, online Sep 2016 ahead of publication, 10.1016/j.jtho.2016.09.001</w:t>
            </w:r>
          </w:p>
        </w:tc>
        <w:tc>
          <w:tcPr>
            <w:tcW w:w="3686" w:type="dxa"/>
          </w:tcPr>
          <w:p w:rsidR="00522488" w:rsidRPr="00522488" w:rsidRDefault="00522488" w:rsidP="00522488">
            <w:pPr>
              <w:spacing w:before="0" w:after="0"/>
              <w:rPr>
                <w:b/>
                <w:szCs w:val="20"/>
              </w:rPr>
            </w:pPr>
            <w:r w:rsidRPr="00522488">
              <w:rPr>
                <w:b/>
                <w:szCs w:val="20"/>
              </w:rPr>
              <w:t>Australian study into the impact of co-mutation (double or multiple mutation), compared with a single mutation, of the EGFR gene on response to tyrosine kinase inhibitors (TKIs) in patients with metastatic non small cell lung cancer (NSCLC). The study included 62 patients; eight (12.9%) with a co-mutation. Progression-free survival (PFS) in patients with EGFR co-mutation was shorter, and response rate significantly lower, than in patients with a single mutation. The study demonstrated that data from multipanel testing identifies subgroups of patients who are likely to respond poorly to standard treatment and clarification of these subgroups may improve patient care.</w:t>
            </w:r>
          </w:p>
        </w:tc>
        <w:tc>
          <w:tcPr>
            <w:tcW w:w="3402" w:type="dxa"/>
          </w:tcPr>
          <w:p w:rsidR="00522488" w:rsidRPr="00522488" w:rsidRDefault="00C470ED" w:rsidP="00522488">
            <w:pPr>
              <w:spacing w:before="0" w:after="0"/>
              <w:rPr>
                <w:b/>
                <w:szCs w:val="20"/>
              </w:rPr>
            </w:pPr>
            <w:hyperlink r:id="rId17" w:history="1">
              <w:r w:rsidR="00D11D37">
                <w:rPr>
                  <w:b/>
                  <w:color w:val="0000FF" w:themeColor="hyperlink"/>
                  <w:szCs w:val="20"/>
                  <w:u w:val="single"/>
                </w:rPr>
                <w:t>EGFR–Co-Mutated Advanced NSCLC and Response to EGFR Tyrosine Kinase Inhibitors</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t>Sep 2016</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t>7.</w:t>
            </w:r>
          </w:p>
        </w:tc>
        <w:tc>
          <w:tcPr>
            <w:tcW w:w="1389" w:type="dxa"/>
          </w:tcPr>
          <w:p w:rsidR="00522488" w:rsidRPr="00522488" w:rsidRDefault="00522488" w:rsidP="00522488">
            <w:pPr>
              <w:spacing w:before="0" w:after="0"/>
              <w:rPr>
                <w:b/>
                <w:szCs w:val="20"/>
              </w:rPr>
            </w:pPr>
            <w:r w:rsidRPr="00522488">
              <w:rPr>
                <w:b/>
                <w:szCs w:val="20"/>
              </w:rPr>
              <w:t>Clinical trial</w:t>
            </w:r>
          </w:p>
        </w:tc>
        <w:tc>
          <w:tcPr>
            <w:tcW w:w="2438" w:type="dxa"/>
          </w:tcPr>
          <w:p w:rsidR="00522488" w:rsidRPr="00522488" w:rsidRDefault="00522488" w:rsidP="00522488">
            <w:pPr>
              <w:spacing w:before="0" w:after="0"/>
              <w:rPr>
                <w:b/>
                <w:szCs w:val="20"/>
              </w:rPr>
            </w:pPr>
            <w:r w:rsidRPr="00522488">
              <w:rPr>
                <w:b/>
                <w:szCs w:val="20"/>
              </w:rPr>
              <w:t>Hollebecque A, Massard C, De Baere T, Auger N, Lacroix L, Koubi-Pick V, et al. Molecular screening for cancer treatment optimization (MOSCATO 01): A prospective molecular triage trial—Interim results. J Clin Oncol 2013; 31, (suppl; abstr 2512).</w:t>
            </w:r>
          </w:p>
        </w:tc>
        <w:tc>
          <w:tcPr>
            <w:tcW w:w="3686" w:type="dxa"/>
          </w:tcPr>
          <w:p w:rsidR="00522488" w:rsidRPr="00522488" w:rsidRDefault="00522488" w:rsidP="00522488">
            <w:pPr>
              <w:spacing w:before="0" w:after="0"/>
              <w:rPr>
                <w:b/>
                <w:szCs w:val="20"/>
              </w:rPr>
            </w:pPr>
            <w:r w:rsidRPr="00522488">
              <w:rPr>
                <w:b/>
                <w:szCs w:val="20"/>
              </w:rPr>
              <w:t>Clinical trial of patients with advanced solid tumours who had failed a standard therapy. Biopsies of the patients’ metastatic cancers were sequenced for 30 target genes. PFS using therapy based on the genomic alterations (GA) was compared to PFS on most recent therapy [129 patients, 111 (86%) had tumor biopsy, 52 had an actionable target (40%); 25 pts (23% of biopsied pts) treated with a targeted therapy]. The trial interim results demonstrate improved anti-tumour activity results for specific GA.</w:t>
            </w:r>
          </w:p>
        </w:tc>
        <w:tc>
          <w:tcPr>
            <w:tcW w:w="3402" w:type="dxa"/>
          </w:tcPr>
          <w:p w:rsidR="00522488" w:rsidRPr="00522488" w:rsidRDefault="00C470ED" w:rsidP="00522488">
            <w:pPr>
              <w:spacing w:before="0" w:after="0"/>
              <w:rPr>
                <w:b/>
                <w:szCs w:val="20"/>
              </w:rPr>
            </w:pPr>
            <w:hyperlink r:id="rId18" w:history="1">
              <w:r w:rsidR="00D11D37">
                <w:rPr>
                  <w:b/>
                  <w:color w:val="0000FF" w:themeColor="hyperlink"/>
                  <w:szCs w:val="20"/>
                  <w:u w:val="single"/>
                </w:rPr>
                <w:t>Molecular screening for cancer treatment optimization (MOSCATO 01): A prospective molecular triage trial—interim results</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t>2013</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lastRenderedPageBreak/>
              <w:t>8.</w:t>
            </w:r>
          </w:p>
        </w:tc>
        <w:tc>
          <w:tcPr>
            <w:tcW w:w="1389" w:type="dxa"/>
          </w:tcPr>
          <w:p w:rsidR="00522488" w:rsidRPr="00522488" w:rsidRDefault="00522488" w:rsidP="00522488">
            <w:pPr>
              <w:spacing w:before="0" w:after="0"/>
              <w:rPr>
                <w:b/>
                <w:szCs w:val="20"/>
              </w:rPr>
            </w:pPr>
            <w:r w:rsidRPr="00522488">
              <w:rPr>
                <w:b/>
                <w:szCs w:val="20"/>
              </w:rPr>
              <w:t>Cost-benefit analysis</w:t>
            </w:r>
          </w:p>
        </w:tc>
        <w:tc>
          <w:tcPr>
            <w:tcW w:w="2438" w:type="dxa"/>
          </w:tcPr>
          <w:p w:rsidR="00522488" w:rsidRPr="00522488" w:rsidRDefault="00522488" w:rsidP="00522488">
            <w:pPr>
              <w:spacing w:before="0" w:after="0"/>
              <w:rPr>
                <w:b/>
                <w:szCs w:val="20"/>
              </w:rPr>
            </w:pPr>
            <w:r w:rsidRPr="00522488">
              <w:rPr>
                <w:b/>
                <w:szCs w:val="20"/>
              </w:rPr>
              <w:t>Kircher SM, Mohindra N, Nimeiri H: Cost estimates and economic implications of expanded RAS testing in metastatic colorectal cancer. Oncologist 2015; 20:14-8.</w:t>
            </w:r>
          </w:p>
        </w:tc>
        <w:tc>
          <w:tcPr>
            <w:tcW w:w="3686" w:type="dxa"/>
          </w:tcPr>
          <w:p w:rsidR="00522488" w:rsidRPr="00522488" w:rsidRDefault="00522488" w:rsidP="00522488">
            <w:pPr>
              <w:spacing w:before="0" w:after="0"/>
              <w:rPr>
                <w:b/>
                <w:szCs w:val="20"/>
              </w:rPr>
            </w:pPr>
            <w:r w:rsidRPr="00522488">
              <w:rPr>
                <w:b/>
                <w:szCs w:val="20"/>
              </w:rPr>
              <w:t>US cost-benefit study of expanding RAS testing for metastatic colorectal cancer. The study concluded that the increased societal cost of expanded RAS testing versus standard approved KRAS exon 2 testing was inconsequential when compared with the amount of money saved by not treating the additional 18% of patients who harbor additional RAS mutations (beyond exon 2) with anti-EGFR therapy.</w:t>
            </w:r>
          </w:p>
        </w:tc>
        <w:tc>
          <w:tcPr>
            <w:tcW w:w="3402" w:type="dxa"/>
          </w:tcPr>
          <w:p w:rsidR="00522488" w:rsidRPr="00522488" w:rsidRDefault="00C470ED" w:rsidP="00522488">
            <w:pPr>
              <w:spacing w:before="0" w:after="0"/>
              <w:rPr>
                <w:b/>
                <w:szCs w:val="20"/>
              </w:rPr>
            </w:pPr>
            <w:hyperlink r:id="rId19" w:history="1">
              <w:r w:rsidR="00D11D37">
                <w:rPr>
                  <w:b/>
                  <w:color w:val="0000FF" w:themeColor="hyperlink"/>
                  <w:szCs w:val="20"/>
                  <w:u w:val="single"/>
                </w:rPr>
                <w:t>Cost Estimates and Economic Implications of Expanded RAS Testing in Metastatic Colorectal Cancer</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t>2015</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t>9</w:t>
            </w:r>
          </w:p>
        </w:tc>
        <w:tc>
          <w:tcPr>
            <w:tcW w:w="1389" w:type="dxa"/>
          </w:tcPr>
          <w:p w:rsidR="00522488" w:rsidRPr="00522488" w:rsidRDefault="00522488" w:rsidP="00522488">
            <w:pPr>
              <w:spacing w:before="0" w:after="0"/>
              <w:rPr>
                <w:b/>
                <w:szCs w:val="20"/>
              </w:rPr>
            </w:pPr>
            <w:r w:rsidRPr="00522488">
              <w:rPr>
                <w:b/>
                <w:szCs w:val="20"/>
              </w:rPr>
              <w:t>Study of diagnostic accuracy</w:t>
            </w:r>
          </w:p>
        </w:tc>
        <w:tc>
          <w:tcPr>
            <w:tcW w:w="2438" w:type="dxa"/>
          </w:tcPr>
          <w:p w:rsidR="00522488" w:rsidRPr="00522488" w:rsidRDefault="00522488" w:rsidP="00522488">
            <w:pPr>
              <w:spacing w:before="0" w:after="0"/>
              <w:rPr>
                <w:b/>
                <w:szCs w:val="20"/>
              </w:rPr>
            </w:pPr>
            <w:r w:rsidRPr="00522488">
              <w:rPr>
                <w:b/>
                <w:szCs w:val="20"/>
              </w:rPr>
              <w:t>Sakai K, Tsurutani J, Yamanaka T, et al: Extended RAS and BRAF Mutation Analysis Using Next-Generation Sequencing. PLoS ONE 10:e0121891, 2015</w:t>
            </w:r>
          </w:p>
        </w:tc>
        <w:tc>
          <w:tcPr>
            <w:tcW w:w="3686" w:type="dxa"/>
          </w:tcPr>
          <w:p w:rsidR="00522488" w:rsidRPr="00522488" w:rsidRDefault="00522488" w:rsidP="00522488">
            <w:pPr>
              <w:spacing w:before="0" w:after="0"/>
              <w:rPr>
                <w:b/>
                <w:szCs w:val="20"/>
              </w:rPr>
            </w:pPr>
            <w:r w:rsidRPr="00522488">
              <w:rPr>
                <w:b/>
                <w:szCs w:val="20"/>
              </w:rPr>
              <w:t>A study into the clinical utility of multiplex deep sequencing to detect somatic mutations in KRAS, NRAS and BRAF in colorectal cancer [100 clinical formalin-fixed paraffin embedded (FFPE) tumour specimens, 15 plasma samples]. The genetic screening assay using a next-generation sequencer was validated for the detection of clinically relevant RAS and BRAF mutations using FFPE and liquid samples.</w:t>
            </w:r>
          </w:p>
        </w:tc>
        <w:tc>
          <w:tcPr>
            <w:tcW w:w="3402" w:type="dxa"/>
          </w:tcPr>
          <w:p w:rsidR="00522488" w:rsidRPr="00522488" w:rsidRDefault="00C470ED" w:rsidP="00522488">
            <w:pPr>
              <w:spacing w:before="0" w:after="0"/>
              <w:rPr>
                <w:b/>
                <w:szCs w:val="20"/>
              </w:rPr>
            </w:pPr>
            <w:hyperlink r:id="rId20" w:history="1">
              <w:r w:rsidR="00D11D37">
                <w:rPr>
                  <w:b/>
                  <w:color w:val="0000FF" w:themeColor="hyperlink"/>
                  <w:szCs w:val="20"/>
                  <w:u w:val="single"/>
                </w:rPr>
                <w:t>Extended RAS and BRAF Mutation Analysis Using Next-Generation Sequencing</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t>2015</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t>10.</w:t>
            </w:r>
          </w:p>
        </w:tc>
        <w:tc>
          <w:tcPr>
            <w:tcW w:w="1389" w:type="dxa"/>
          </w:tcPr>
          <w:p w:rsidR="00522488" w:rsidRPr="00522488" w:rsidRDefault="00522488" w:rsidP="00522488">
            <w:pPr>
              <w:spacing w:before="0" w:after="0"/>
              <w:rPr>
                <w:b/>
                <w:szCs w:val="20"/>
              </w:rPr>
            </w:pPr>
            <w:r w:rsidRPr="00522488">
              <w:rPr>
                <w:b/>
                <w:szCs w:val="20"/>
              </w:rPr>
              <w:t>Clinical review</w:t>
            </w:r>
          </w:p>
        </w:tc>
        <w:tc>
          <w:tcPr>
            <w:tcW w:w="2438" w:type="dxa"/>
          </w:tcPr>
          <w:p w:rsidR="00522488" w:rsidRPr="00522488" w:rsidRDefault="00522488" w:rsidP="00522488">
            <w:pPr>
              <w:spacing w:before="0" w:after="0"/>
              <w:rPr>
                <w:b/>
                <w:szCs w:val="20"/>
              </w:rPr>
            </w:pPr>
            <w:r w:rsidRPr="00522488">
              <w:rPr>
                <w:b/>
                <w:szCs w:val="20"/>
              </w:rPr>
              <w:t>Kruglyak KM, Lin E, Ong FS. Next-Generation Sequencing and Applications to the Diagnosis and Treatment of Lung Cancer. Adv Exp Med Biol. 2016;890:123-36.</w:t>
            </w:r>
          </w:p>
        </w:tc>
        <w:tc>
          <w:tcPr>
            <w:tcW w:w="3686" w:type="dxa"/>
          </w:tcPr>
          <w:p w:rsidR="00522488" w:rsidRPr="00522488" w:rsidRDefault="00522488" w:rsidP="00522488">
            <w:pPr>
              <w:spacing w:before="0" w:after="0"/>
              <w:rPr>
                <w:b/>
                <w:szCs w:val="20"/>
              </w:rPr>
            </w:pPr>
            <w:r w:rsidRPr="00522488">
              <w:rPr>
                <w:b/>
                <w:szCs w:val="20"/>
              </w:rPr>
              <w:t>Review of NGS technology in the diagnosis and treatment of lung cancer, providing a high-level overview of the role of NGS in precision oncology and the technical challenges involved.</w:t>
            </w:r>
          </w:p>
        </w:tc>
        <w:tc>
          <w:tcPr>
            <w:tcW w:w="3402" w:type="dxa"/>
          </w:tcPr>
          <w:p w:rsidR="00522488" w:rsidRPr="00522488" w:rsidRDefault="00C470ED" w:rsidP="00522488">
            <w:pPr>
              <w:spacing w:before="0" w:after="0"/>
              <w:rPr>
                <w:b/>
                <w:szCs w:val="20"/>
              </w:rPr>
            </w:pPr>
            <w:hyperlink r:id="rId21" w:history="1">
              <w:r w:rsidR="00D11D37">
                <w:rPr>
                  <w:b/>
                  <w:color w:val="0000FF" w:themeColor="hyperlink"/>
                  <w:szCs w:val="20"/>
                  <w:u w:val="single"/>
                </w:rPr>
                <w:t>Next-Generation Sequencing and Applications to the Diagnosis and Treatment of Lung Cancer</w:t>
              </w:r>
            </w:hyperlink>
            <w:r w:rsidR="00522488" w:rsidRPr="00522488">
              <w:rPr>
                <w:b/>
                <w:szCs w:val="20"/>
              </w:rPr>
              <w:t xml:space="preserve"> </w:t>
            </w:r>
          </w:p>
        </w:tc>
        <w:tc>
          <w:tcPr>
            <w:tcW w:w="2126" w:type="dxa"/>
          </w:tcPr>
          <w:p w:rsidR="00522488" w:rsidRPr="00522488" w:rsidRDefault="00522488" w:rsidP="00522488">
            <w:pPr>
              <w:spacing w:before="0" w:after="0"/>
              <w:rPr>
                <w:b/>
                <w:szCs w:val="20"/>
              </w:rPr>
            </w:pPr>
            <w:r w:rsidRPr="00522488">
              <w:rPr>
                <w:b/>
                <w:szCs w:val="20"/>
              </w:rPr>
              <w:t>2016</w:t>
            </w:r>
          </w:p>
        </w:tc>
      </w:tr>
      <w:tr w:rsidR="00522488" w:rsidRPr="00522488" w:rsidTr="00B373F3">
        <w:tc>
          <w:tcPr>
            <w:tcW w:w="851" w:type="dxa"/>
          </w:tcPr>
          <w:p w:rsidR="00522488" w:rsidRPr="00522488" w:rsidRDefault="00522488" w:rsidP="00522488">
            <w:pPr>
              <w:spacing w:before="0" w:after="0"/>
              <w:rPr>
                <w:szCs w:val="20"/>
              </w:rPr>
            </w:pPr>
            <w:r w:rsidRPr="00522488">
              <w:rPr>
                <w:szCs w:val="20"/>
              </w:rPr>
              <w:t>11.</w:t>
            </w:r>
          </w:p>
        </w:tc>
        <w:tc>
          <w:tcPr>
            <w:tcW w:w="1389" w:type="dxa"/>
          </w:tcPr>
          <w:p w:rsidR="00522488" w:rsidRPr="00522488" w:rsidRDefault="00522488" w:rsidP="00522488">
            <w:pPr>
              <w:spacing w:before="0" w:after="0"/>
              <w:rPr>
                <w:b/>
                <w:szCs w:val="20"/>
              </w:rPr>
            </w:pPr>
            <w:r w:rsidRPr="00522488">
              <w:rPr>
                <w:b/>
                <w:szCs w:val="20"/>
              </w:rPr>
              <w:t>Clinical guidelines</w:t>
            </w:r>
          </w:p>
        </w:tc>
        <w:tc>
          <w:tcPr>
            <w:tcW w:w="2438" w:type="dxa"/>
          </w:tcPr>
          <w:p w:rsidR="00522488" w:rsidRPr="00522488" w:rsidRDefault="00522488" w:rsidP="00522488">
            <w:pPr>
              <w:spacing w:before="0" w:after="0"/>
              <w:rPr>
                <w:b/>
                <w:szCs w:val="20"/>
              </w:rPr>
            </w:pPr>
            <w:r w:rsidRPr="00522488">
              <w:rPr>
                <w:b/>
                <w:szCs w:val="20"/>
              </w:rPr>
              <w:t xml:space="preserve">Sepulveda AR, Hamilton SR, Allegra CJ, et al: Molecular Biomarkers for the Evaluation of Colorectal Cancer: Guideline From the </w:t>
            </w:r>
            <w:r w:rsidRPr="00522488">
              <w:rPr>
                <w:b/>
                <w:szCs w:val="20"/>
              </w:rPr>
              <w:lastRenderedPageBreak/>
              <w:t>American Society for Clinical Pathology, College of American Pathologists, Association for Molecular Pathology, and the American Society of Clinical Oncology. J Clin Oncol:JCO.2016.71.9807, 2017</w:t>
            </w:r>
          </w:p>
        </w:tc>
        <w:tc>
          <w:tcPr>
            <w:tcW w:w="3686" w:type="dxa"/>
          </w:tcPr>
          <w:p w:rsidR="00522488" w:rsidRPr="00522488" w:rsidRDefault="00522488" w:rsidP="00522488">
            <w:pPr>
              <w:spacing w:before="0" w:after="0"/>
              <w:rPr>
                <w:b/>
                <w:szCs w:val="20"/>
              </w:rPr>
            </w:pPr>
            <w:r w:rsidRPr="00522488">
              <w:rPr>
                <w:b/>
                <w:szCs w:val="20"/>
              </w:rPr>
              <w:lastRenderedPageBreak/>
              <w:t xml:space="preserve">Clinical practice guidelines recommending molecular biomarkers for best practice in the diagnosis and treatment of colorectal cancer.  These guidelines highlight the importance of </w:t>
            </w:r>
            <w:r w:rsidRPr="00522488">
              <w:rPr>
                <w:b/>
                <w:szCs w:val="20"/>
              </w:rPr>
              <w:lastRenderedPageBreak/>
              <w:t>concurrent knowledge of the RAS and BRAF status of mCRC.</w:t>
            </w:r>
          </w:p>
        </w:tc>
        <w:tc>
          <w:tcPr>
            <w:tcW w:w="3402" w:type="dxa"/>
          </w:tcPr>
          <w:p w:rsidR="00522488" w:rsidRDefault="00C470ED" w:rsidP="00522488">
            <w:pPr>
              <w:spacing w:before="0" w:after="0"/>
              <w:rPr>
                <w:b/>
                <w:szCs w:val="20"/>
              </w:rPr>
            </w:pPr>
            <w:hyperlink r:id="rId22" w:history="1">
              <w:r w:rsidR="00D11D37">
                <w:rPr>
                  <w:rStyle w:val="Hyperlink"/>
                  <w:szCs w:val="20"/>
                </w:rPr>
                <w:t xml:space="preserve">Molecular Biomarkers for the Evaluation of Colorectal Cancer: Guideline From the American Society for Clinical Pathology, College of American Pathologists, Association for </w:t>
              </w:r>
              <w:r w:rsidR="00D11D37">
                <w:rPr>
                  <w:rStyle w:val="Hyperlink"/>
                  <w:szCs w:val="20"/>
                </w:rPr>
                <w:lastRenderedPageBreak/>
                <w:t>Molecular Pathology, and the American Society of Clinical Oncology</w:t>
              </w:r>
            </w:hyperlink>
          </w:p>
          <w:p w:rsidR="00D11D37" w:rsidRPr="00522488" w:rsidRDefault="00D11D37" w:rsidP="00522488">
            <w:pPr>
              <w:spacing w:before="0" w:after="0"/>
              <w:rPr>
                <w:b/>
                <w:szCs w:val="20"/>
              </w:rPr>
            </w:pPr>
          </w:p>
        </w:tc>
        <w:tc>
          <w:tcPr>
            <w:tcW w:w="2126" w:type="dxa"/>
          </w:tcPr>
          <w:p w:rsidR="00522488" w:rsidRPr="00522488" w:rsidRDefault="00522488" w:rsidP="00522488">
            <w:pPr>
              <w:spacing w:before="0" w:after="0"/>
              <w:rPr>
                <w:b/>
                <w:szCs w:val="20"/>
              </w:rPr>
            </w:pPr>
            <w:r w:rsidRPr="00522488">
              <w:rPr>
                <w:b/>
                <w:szCs w:val="20"/>
              </w:rPr>
              <w:lastRenderedPageBreak/>
              <w:t>2017</w:t>
            </w:r>
          </w:p>
        </w:tc>
      </w:tr>
    </w:tbl>
    <w:p w:rsidR="00522488" w:rsidRPr="00522488" w:rsidRDefault="00522488" w:rsidP="00522488"/>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rsidR="00DD308E" w:rsidRDefault="00DD308E" w:rsidP="00DD308E">
      <w:pPr>
        <w:rPr>
          <w:i/>
          <w:szCs w:val="20"/>
        </w:rPr>
      </w:pPr>
      <w:r>
        <w:rPr>
          <w:i/>
          <w:szCs w:val="20"/>
        </w:rPr>
        <w:br w:type="page"/>
      </w: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rsidTr="004C49EF">
        <w:trPr>
          <w:cantSplit/>
          <w:tblHeader/>
        </w:trPr>
        <w:tc>
          <w:tcPr>
            <w:tcW w:w="326" w:type="pct"/>
          </w:tcPr>
          <w:p w:rsidR="004C49EF" w:rsidRDefault="004C49EF" w:rsidP="00855944">
            <w:pPr>
              <w:pStyle w:val="TableHEADER"/>
            </w:pPr>
          </w:p>
        </w:tc>
        <w:tc>
          <w:tcPr>
            <w:tcW w:w="895" w:type="pct"/>
          </w:tcPr>
          <w:p w:rsidR="004C49EF" w:rsidRDefault="004C49EF" w:rsidP="00855944">
            <w:pPr>
              <w:pStyle w:val="TableHEADER"/>
            </w:pPr>
            <w:r>
              <w:t>Type of study design*</w:t>
            </w:r>
          </w:p>
        </w:tc>
        <w:tc>
          <w:tcPr>
            <w:tcW w:w="1125" w:type="pct"/>
          </w:tcPr>
          <w:p w:rsidR="004C49EF" w:rsidRDefault="004C49EF" w:rsidP="00855944">
            <w:pPr>
              <w:pStyle w:val="TableHEADER"/>
            </w:pPr>
            <w:r>
              <w:t>Title of research (including any trial identifier if relevant)</w:t>
            </w:r>
          </w:p>
        </w:tc>
        <w:tc>
          <w:tcPr>
            <w:tcW w:w="884" w:type="pct"/>
          </w:tcPr>
          <w:p w:rsidR="004C49EF" w:rsidRDefault="00367C1B" w:rsidP="00855944">
            <w:pPr>
              <w:pStyle w:val="TableHEADER"/>
            </w:pPr>
            <w:r>
              <w:t xml:space="preserve">Short description of research </w:t>
            </w:r>
            <w:r w:rsidR="004C49EF">
              <w:t>(max 50 words)**</w:t>
            </w:r>
          </w:p>
        </w:tc>
        <w:tc>
          <w:tcPr>
            <w:tcW w:w="1246" w:type="pct"/>
          </w:tcPr>
          <w:p w:rsidR="004C49EF" w:rsidRDefault="004C49EF" w:rsidP="00855944">
            <w:pPr>
              <w:pStyle w:val="TableHEADER"/>
            </w:pPr>
            <w:r w:rsidRPr="00E82F54">
              <w:t xml:space="preserve">Website link to </w:t>
            </w:r>
            <w:r>
              <w:t>research (if available)</w:t>
            </w:r>
          </w:p>
        </w:tc>
        <w:tc>
          <w:tcPr>
            <w:tcW w:w="524" w:type="pct"/>
          </w:tcPr>
          <w:p w:rsidR="004C49EF" w:rsidRDefault="004C49EF" w:rsidP="00855944">
            <w:pPr>
              <w:pStyle w:val="TableHEADER"/>
            </w:pPr>
            <w:r w:rsidRPr="00E82F54">
              <w:t>Date*</w:t>
            </w:r>
            <w:r>
              <w:t>**</w:t>
            </w:r>
          </w:p>
        </w:tc>
      </w:tr>
      <w:tr w:rsidR="004C49EF" w:rsidTr="004C49EF">
        <w:trPr>
          <w:cantSplit/>
        </w:trPr>
        <w:tc>
          <w:tcPr>
            <w:tcW w:w="326" w:type="pct"/>
          </w:tcPr>
          <w:p w:rsidR="004C49EF" w:rsidRPr="00965B6B" w:rsidRDefault="004C49EF" w:rsidP="00526478">
            <w:pPr>
              <w:rPr>
                <w:szCs w:val="20"/>
              </w:rPr>
            </w:pPr>
            <w:r w:rsidRPr="00965B6B">
              <w:rPr>
                <w:szCs w:val="20"/>
              </w:rPr>
              <w:t>1</w:t>
            </w:r>
            <w:r>
              <w:rPr>
                <w:szCs w:val="20"/>
              </w:rPr>
              <w:t>.</w:t>
            </w:r>
          </w:p>
        </w:tc>
        <w:tc>
          <w:tcPr>
            <w:tcW w:w="895" w:type="pct"/>
          </w:tcPr>
          <w:p w:rsidR="004C49EF" w:rsidRDefault="002F30E7"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instrText xml:space="preserve"> FORMTEXT </w:instrText>
            </w:r>
            <w:r>
              <w:fldChar w:fldCharType="separate"/>
            </w:r>
            <w:r>
              <w:rPr>
                <w:noProof/>
              </w:rPr>
              <w:t>For yet to be published research that may have results relevant to your application, insert the type of study design in this column and columns below</w:t>
            </w:r>
            <w:r>
              <w:fldChar w:fldCharType="end"/>
            </w:r>
          </w:p>
        </w:tc>
        <w:tc>
          <w:tcPr>
            <w:tcW w:w="1125" w:type="pct"/>
          </w:tcPr>
          <w:p w:rsidR="004C49EF" w:rsidRDefault="00367C1B"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instrText xml:space="preserve"> FORMTEXT </w:instrText>
            </w:r>
            <w:r>
              <w:fldChar w:fldCharType="separate"/>
            </w:r>
            <w:r>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rsidR="004C49EF" w:rsidRDefault="0035776D"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instrText xml:space="preserve"> FORMTEXT </w:instrText>
            </w:r>
            <w:r>
              <w:fldChar w:fldCharType="separate"/>
            </w:r>
            <w:r>
              <w:rPr>
                <w:noProof/>
              </w:rPr>
              <w:t>For yet to be published research that may have results relevant to your application, insert a short description of research (max 50 words) in this column and columns below</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instrText xml:space="preserve"> FORMTEXT </w:instrText>
            </w:r>
            <w:r>
              <w:fldChar w:fldCharType="separate"/>
            </w:r>
            <w:r>
              <w:rPr>
                <w:noProof/>
              </w:rPr>
              <w:t>For yet to be published research that may have results relevant to your application, insert a website link to this research (if available) in this column and columns below</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instrText xml:space="preserve"> FORMTEXT </w:instrText>
            </w:r>
            <w:r>
              <w:fldChar w:fldCharType="separate"/>
            </w:r>
            <w:r>
              <w:rPr>
                <w:noProof/>
              </w:rPr>
              <w:t>For yet to be published research that may have results relevant to your application, insert date in this column and columns below</w:t>
            </w:r>
            <w:r>
              <w:fldChar w:fldCharType="end"/>
            </w:r>
          </w:p>
        </w:tc>
      </w:tr>
      <w:tr w:rsidR="004C49EF" w:rsidTr="004C49EF">
        <w:trPr>
          <w:cantSplit/>
        </w:trPr>
        <w:tc>
          <w:tcPr>
            <w:tcW w:w="326" w:type="pct"/>
          </w:tcPr>
          <w:p w:rsidR="004C49EF" w:rsidRPr="00965B6B" w:rsidRDefault="004C49EF" w:rsidP="00526478">
            <w:pPr>
              <w:rPr>
                <w:szCs w:val="20"/>
              </w:rPr>
            </w:pPr>
            <w:r>
              <w:rPr>
                <w:szCs w:val="20"/>
              </w:rPr>
              <w:t>2.</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3.</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4.</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5.</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6.</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7.</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8.</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Tr="004C49EF">
        <w:trPr>
          <w:cantSplit/>
        </w:trPr>
        <w:tc>
          <w:tcPr>
            <w:tcW w:w="326" w:type="pct"/>
          </w:tcPr>
          <w:p w:rsidR="004C49EF" w:rsidRDefault="004C49EF" w:rsidP="00526478">
            <w:pPr>
              <w:rPr>
                <w:szCs w:val="20"/>
              </w:rPr>
            </w:pPr>
            <w:r>
              <w:rPr>
                <w:szCs w:val="20"/>
              </w:rPr>
              <w:t>9.</w:t>
            </w:r>
          </w:p>
        </w:tc>
        <w:tc>
          <w:tcPr>
            <w:tcW w:w="895" w:type="pct"/>
          </w:tcPr>
          <w:p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rsidR="004C49EF" w:rsidRDefault="004C49EF" w:rsidP="004C49EF">
      <w:pPr>
        <w:spacing w:after="0"/>
        <w:ind w:left="426"/>
        <w:rPr>
          <w:i/>
          <w:szCs w:val="20"/>
        </w:rPr>
      </w:pPr>
      <w:r>
        <w:rPr>
          <w:i/>
          <w:szCs w:val="20"/>
        </w:rPr>
        <w:lastRenderedPageBreak/>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Pr="00A727B6" w:rsidRDefault="00237E4A" w:rsidP="00A727B6">
      <w:pPr>
        <w:ind w:left="426"/>
      </w:pPr>
      <w:r>
        <w:fldChar w:fldCharType="begin">
          <w:ffData>
            <w:name w:val=""/>
            <w:enabled/>
            <w:calcOnExit w:val="0"/>
            <w:textInput>
              <w:default w:val="The Royal College of Pathologists of Australasia (the applicant)"/>
            </w:textInput>
          </w:ffData>
        </w:fldChar>
      </w:r>
      <w:r>
        <w:instrText xml:space="preserve"> FORMTEXT </w:instrText>
      </w:r>
      <w:r>
        <w:fldChar w:fldCharType="separate"/>
      </w:r>
      <w:r>
        <w:rPr>
          <w:noProof/>
        </w:rPr>
        <w:t>The Royal College of Pathologists of Australasia (the applicant)</w:t>
      </w:r>
      <w:r>
        <w:fldChar w:fldCharType="end"/>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094BD2" w:rsidP="00A727B6">
      <w:pPr>
        <w:ind w:left="426"/>
      </w:pPr>
      <w:r>
        <w:fldChar w:fldCharType="begin">
          <w:ffData>
            <w:name w:val=""/>
            <w:enabled/>
            <w:calcOnExit w:val="0"/>
            <w:textInput>
              <w:default w:val="Pathology Australia, Public Pathology Australia"/>
            </w:textInput>
          </w:ffData>
        </w:fldChar>
      </w:r>
      <w:r>
        <w:instrText xml:space="preserve"> FORMTEXT </w:instrText>
      </w:r>
      <w:r>
        <w:fldChar w:fldCharType="separate"/>
      </w:r>
      <w:r>
        <w:rPr>
          <w:noProof/>
        </w:rPr>
        <w:t>Pathology Australia, Public Pathology Australia</w:t>
      </w:r>
      <w:r>
        <w:fldChar w:fldCharType="end"/>
      </w:r>
    </w:p>
    <w:p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094BD2" w:rsidP="00A727B6">
      <w:pPr>
        <w:ind w:left="426"/>
        <w:rPr>
          <w:szCs w:val="20"/>
        </w:rPr>
      </w:pPr>
      <w:r>
        <w:fldChar w:fldCharType="begin">
          <w:ffData>
            <w:name w:val=""/>
            <w:enabled/>
            <w:calcOnExit w:val="0"/>
            <w:textInput>
              <w:default w:val="Cancer Voices Australia, COSA, Medical Oncology Group of Australia (MOGA), Cancer Voices, Human Genetics Society of Australia"/>
            </w:textInput>
          </w:ffData>
        </w:fldChar>
      </w:r>
      <w:r>
        <w:instrText xml:space="preserve"> FORMTEXT </w:instrText>
      </w:r>
      <w:r>
        <w:fldChar w:fldCharType="separate"/>
      </w:r>
      <w:r>
        <w:rPr>
          <w:noProof/>
        </w:rPr>
        <w:t>Cancer Voices Australia, COSA, Medical Oncology Group of Australia (MOGA), Cancer Voices, Human Genetics Society of Australia</w:t>
      </w:r>
      <w:r>
        <w:fldChar w:fldCharType="end"/>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EE6450" w:rsidRDefault="00094BD2" w:rsidP="00EE6450">
      <w:pPr>
        <w:ind w:left="426"/>
        <w:rPr>
          <w:szCs w:val="20"/>
        </w:rPr>
      </w:pPr>
      <w:r>
        <w:fldChar w:fldCharType="begin">
          <w:ffData>
            <w:name w:val=""/>
            <w:enabled/>
            <w:calcOnExit w:val="0"/>
            <w:textInput>
              <w:default w:val="N/A"/>
            </w:textInput>
          </w:ffData>
        </w:fldChar>
      </w:r>
      <w:r>
        <w:instrText xml:space="preserve"> FORMTEXT </w:instrText>
      </w:r>
      <w:r>
        <w:fldChar w:fldCharType="separate"/>
      </w:r>
      <w:r>
        <w:rPr>
          <w:noProof/>
        </w:rPr>
        <w:t>N/A</w:t>
      </w:r>
      <w:r>
        <w:fldChar w:fldCharType="end"/>
      </w:r>
    </w:p>
    <w:p w:rsidR="00E82F54" w:rsidRDefault="00E82F54" w:rsidP="00530204">
      <w:pPr>
        <w:pStyle w:val="Heading2"/>
      </w:pPr>
      <w:r w:rsidRPr="00154B00">
        <w:t>Nominate two experts who could be approached about the proposed medical service and the current clinical management of the service(s):</w:t>
      </w:r>
    </w:p>
    <w:p w:rsidR="00A96329" w:rsidRPr="00A96329" w:rsidRDefault="00A96329" w:rsidP="00A96329"/>
    <w:p w:rsidR="00987ABE" w:rsidRPr="00094BD2" w:rsidRDefault="00987ABE" w:rsidP="00987ABE">
      <w:pPr>
        <w:ind w:left="426"/>
        <w:rPr>
          <w:szCs w:val="20"/>
        </w:rPr>
      </w:pPr>
      <w:r>
        <w:rPr>
          <w:szCs w:val="20"/>
        </w:rPr>
        <w:t xml:space="preserve">Name of expert 1: </w:t>
      </w:r>
      <w:r w:rsidR="00094BD2" w:rsidRPr="00094BD2">
        <w:rPr>
          <w:szCs w:val="20"/>
        </w:rPr>
        <w:t>Redacted</w:t>
      </w:r>
    </w:p>
    <w:p w:rsidR="00987ABE" w:rsidRPr="00987ABE" w:rsidRDefault="00987ABE" w:rsidP="00987ABE">
      <w:pPr>
        <w:ind w:left="426"/>
        <w:rPr>
          <w:szCs w:val="20"/>
        </w:rPr>
      </w:pPr>
      <w:r>
        <w:rPr>
          <w:szCs w:val="20"/>
        </w:rPr>
        <w:t xml:space="preserve">Telephone number(s): </w:t>
      </w:r>
      <w:r w:rsidR="00094BD2">
        <w:fldChar w:fldCharType="begin">
          <w:ffData>
            <w:name w:val=""/>
            <w:enabled/>
            <w:calcOnExit w:val="0"/>
            <w:textInput>
              <w:default w:val="Redacted"/>
            </w:textInput>
          </w:ffData>
        </w:fldChar>
      </w:r>
      <w:r w:rsidR="00094BD2">
        <w:instrText xml:space="preserve"> FORMTEXT </w:instrText>
      </w:r>
      <w:r w:rsidR="00094BD2">
        <w:fldChar w:fldCharType="separate"/>
      </w:r>
      <w:r w:rsidR="00094BD2">
        <w:rPr>
          <w:noProof/>
        </w:rPr>
        <w:t>Redacted</w:t>
      </w:r>
      <w:r w:rsidR="00094BD2">
        <w:fldChar w:fldCharType="end"/>
      </w:r>
    </w:p>
    <w:p w:rsidR="00987ABE" w:rsidRPr="00987ABE" w:rsidRDefault="00987ABE" w:rsidP="00987ABE">
      <w:pPr>
        <w:ind w:left="426"/>
        <w:rPr>
          <w:szCs w:val="20"/>
        </w:rPr>
      </w:pPr>
      <w:r>
        <w:rPr>
          <w:szCs w:val="20"/>
        </w:rPr>
        <w:t xml:space="preserve">Email address: </w:t>
      </w:r>
      <w:r w:rsidR="00094BD2">
        <w:fldChar w:fldCharType="begin">
          <w:ffData>
            <w:name w:val=""/>
            <w:enabled/>
            <w:calcOnExit w:val="0"/>
            <w:textInput>
              <w:default w:val="Redacted"/>
            </w:textInput>
          </w:ffData>
        </w:fldChar>
      </w:r>
      <w:r w:rsidR="00094BD2">
        <w:instrText xml:space="preserve"> FORMTEXT </w:instrText>
      </w:r>
      <w:r w:rsidR="00094BD2">
        <w:fldChar w:fldCharType="separate"/>
      </w:r>
      <w:r w:rsidR="00094BD2">
        <w:rPr>
          <w:noProof/>
        </w:rPr>
        <w:t>Redacted</w:t>
      </w:r>
      <w:r w:rsidR="00094BD2">
        <w:fldChar w:fldCharType="end"/>
      </w:r>
    </w:p>
    <w:p w:rsidR="00987ABE" w:rsidRPr="00987ABE" w:rsidRDefault="00987ABE" w:rsidP="00987ABE">
      <w:pPr>
        <w:ind w:left="426"/>
        <w:rPr>
          <w:szCs w:val="20"/>
        </w:rPr>
      </w:pPr>
      <w:r>
        <w:rPr>
          <w:szCs w:val="20"/>
        </w:rPr>
        <w:t xml:space="preserve">Justification of expertise: </w:t>
      </w:r>
      <w:r w:rsidR="00094BD2">
        <w:fldChar w:fldCharType="begin">
          <w:ffData>
            <w:name w:val=""/>
            <w:enabled/>
            <w:calcOnExit w:val="0"/>
            <w:textInput>
              <w:default w:val="Redacted"/>
            </w:textInput>
          </w:ffData>
        </w:fldChar>
      </w:r>
      <w:r w:rsidR="00094BD2">
        <w:instrText xml:space="preserve"> FORMTEXT </w:instrText>
      </w:r>
      <w:r w:rsidR="00094BD2">
        <w:fldChar w:fldCharType="separate"/>
      </w:r>
      <w:r w:rsidR="00094BD2">
        <w:rPr>
          <w:noProof/>
        </w:rPr>
        <w:t>Redacted</w:t>
      </w:r>
      <w:r w:rsidR="00094BD2">
        <w:fldChar w:fldCharType="end"/>
      </w:r>
    </w:p>
    <w:p w:rsidR="00987ABE" w:rsidRPr="00987ABE" w:rsidRDefault="00987ABE" w:rsidP="00987ABE">
      <w:pPr>
        <w:ind w:left="426"/>
        <w:rPr>
          <w:szCs w:val="20"/>
        </w:rPr>
      </w:pPr>
    </w:p>
    <w:p w:rsidR="00987ABE" w:rsidRPr="00987ABE" w:rsidRDefault="00987ABE" w:rsidP="00987ABE">
      <w:pPr>
        <w:ind w:left="426"/>
        <w:rPr>
          <w:szCs w:val="20"/>
        </w:rPr>
      </w:pPr>
      <w:r>
        <w:rPr>
          <w:szCs w:val="20"/>
        </w:rPr>
        <w:t xml:space="preserve">Name of expert 2: </w:t>
      </w:r>
      <w:r w:rsidR="00094BD2">
        <w:fldChar w:fldCharType="begin">
          <w:ffData>
            <w:name w:val=""/>
            <w:enabled/>
            <w:calcOnExit w:val="0"/>
            <w:textInput>
              <w:default w:val="Redacted"/>
            </w:textInput>
          </w:ffData>
        </w:fldChar>
      </w:r>
      <w:r w:rsidR="00094BD2">
        <w:instrText xml:space="preserve"> FORMTEXT </w:instrText>
      </w:r>
      <w:r w:rsidR="00094BD2">
        <w:fldChar w:fldCharType="separate"/>
      </w:r>
      <w:r w:rsidR="00094BD2">
        <w:rPr>
          <w:noProof/>
        </w:rPr>
        <w:t>Redacted</w:t>
      </w:r>
      <w:r w:rsidR="00094BD2">
        <w:fldChar w:fldCharType="end"/>
      </w:r>
    </w:p>
    <w:p w:rsidR="00987ABE" w:rsidRPr="00987ABE" w:rsidRDefault="00987ABE" w:rsidP="00987ABE">
      <w:pPr>
        <w:ind w:left="426"/>
        <w:rPr>
          <w:szCs w:val="20"/>
        </w:rPr>
      </w:pPr>
      <w:r>
        <w:rPr>
          <w:szCs w:val="20"/>
        </w:rPr>
        <w:t xml:space="preserve">Telephone number(s): </w:t>
      </w:r>
      <w:r w:rsidR="00094BD2">
        <w:fldChar w:fldCharType="begin">
          <w:ffData>
            <w:name w:val=""/>
            <w:enabled/>
            <w:calcOnExit w:val="0"/>
            <w:textInput>
              <w:default w:val="Redacted"/>
            </w:textInput>
          </w:ffData>
        </w:fldChar>
      </w:r>
      <w:r w:rsidR="00094BD2">
        <w:instrText xml:space="preserve"> FORMTEXT </w:instrText>
      </w:r>
      <w:r w:rsidR="00094BD2">
        <w:fldChar w:fldCharType="separate"/>
      </w:r>
      <w:r w:rsidR="00094BD2">
        <w:rPr>
          <w:noProof/>
        </w:rPr>
        <w:t>Redacted</w:t>
      </w:r>
      <w:r w:rsidR="00094BD2">
        <w:fldChar w:fldCharType="end"/>
      </w:r>
    </w:p>
    <w:p w:rsidR="00987ABE" w:rsidRPr="00987ABE" w:rsidRDefault="00987ABE" w:rsidP="00987ABE">
      <w:pPr>
        <w:ind w:left="426"/>
        <w:rPr>
          <w:szCs w:val="20"/>
        </w:rPr>
      </w:pPr>
      <w:r>
        <w:rPr>
          <w:szCs w:val="20"/>
        </w:rPr>
        <w:t xml:space="preserve">Email address: </w:t>
      </w:r>
      <w:r w:rsidR="00094BD2">
        <w:fldChar w:fldCharType="begin">
          <w:ffData>
            <w:name w:val=""/>
            <w:enabled/>
            <w:calcOnExit w:val="0"/>
            <w:textInput>
              <w:default w:val="Redacted"/>
            </w:textInput>
          </w:ffData>
        </w:fldChar>
      </w:r>
      <w:r w:rsidR="00094BD2">
        <w:instrText xml:space="preserve"> FORMTEXT </w:instrText>
      </w:r>
      <w:r w:rsidR="00094BD2">
        <w:fldChar w:fldCharType="separate"/>
      </w:r>
      <w:r w:rsidR="00094BD2">
        <w:rPr>
          <w:noProof/>
        </w:rPr>
        <w:t>Redacted</w:t>
      </w:r>
      <w:r w:rsidR="00094BD2">
        <w:fldChar w:fldCharType="end"/>
      </w:r>
    </w:p>
    <w:p w:rsidR="00E82F54" w:rsidRPr="00154B00" w:rsidRDefault="00987ABE" w:rsidP="00987ABE">
      <w:pPr>
        <w:ind w:left="426"/>
        <w:rPr>
          <w:szCs w:val="20"/>
        </w:rPr>
      </w:pPr>
      <w:r>
        <w:rPr>
          <w:szCs w:val="20"/>
        </w:rPr>
        <w:t xml:space="preserve">Justification of expertise: </w:t>
      </w:r>
      <w:r w:rsidR="00094BD2">
        <w:fldChar w:fldCharType="begin">
          <w:ffData>
            <w:name w:val=""/>
            <w:enabled/>
            <w:calcOnExit w:val="0"/>
            <w:textInput>
              <w:default w:val="Redacted"/>
            </w:textInput>
          </w:ffData>
        </w:fldChar>
      </w:r>
      <w:r w:rsidR="00094BD2">
        <w:instrText xml:space="preserve"> FORMTEXT </w:instrText>
      </w:r>
      <w:r w:rsidR="00094BD2">
        <w:fldChar w:fldCharType="separate"/>
      </w:r>
      <w:r w:rsidR="00094BD2">
        <w:rPr>
          <w:noProof/>
        </w:rPr>
        <w:t>Redacted</w:t>
      </w:r>
      <w:r w:rsidR="00094BD2">
        <w:fldChar w:fldCharType="end"/>
      </w:r>
    </w:p>
    <w:p w:rsidR="00987ABE" w:rsidRDefault="00987ABE" w:rsidP="00E82F54">
      <w:pPr>
        <w:ind w:left="426"/>
        <w:rPr>
          <w:i/>
          <w:szCs w:val="20"/>
        </w:rPr>
      </w:pPr>
    </w:p>
    <w:p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rsidR="003433D1" w:rsidRDefault="003433D1">
      <w:pPr>
        <w:rPr>
          <w:b/>
          <w:sz w:val="32"/>
          <w:szCs w:val="32"/>
        </w:rPr>
      </w:pPr>
      <w:r>
        <w:rPr>
          <w:b/>
          <w:sz w:val="32"/>
          <w:szCs w:val="32"/>
        </w:rPr>
        <w:br w:type="page"/>
      </w:r>
    </w:p>
    <w:p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tbl>
      <w:tblPr>
        <w:tblStyle w:val="TableGrid3"/>
        <w:tblW w:w="0" w:type="auto"/>
        <w:tblInd w:w="534" w:type="dxa"/>
        <w:tblLook w:val="04A0" w:firstRow="1" w:lastRow="0" w:firstColumn="1" w:lastColumn="0" w:noHBand="0" w:noVBand="1"/>
        <w:tblCaption w:val="Summary of Medical Condition"/>
        <w:tblDescription w:val="Summary of Medical Condition"/>
      </w:tblPr>
      <w:tblGrid>
        <w:gridCol w:w="8482"/>
      </w:tblGrid>
      <w:tr w:rsidR="00094BD2" w:rsidRPr="00094BD2" w:rsidTr="00B10871">
        <w:tc>
          <w:tcPr>
            <w:tcW w:w="8708" w:type="dxa"/>
          </w:tcPr>
          <w:p w:rsidR="00094BD2" w:rsidRPr="00094BD2" w:rsidRDefault="00094BD2" w:rsidP="00094BD2">
            <w:pPr>
              <w:spacing w:before="100" w:beforeAutospacing="1" w:after="100" w:afterAutospacing="1"/>
              <w:rPr>
                <w:szCs w:val="20"/>
              </w:rPr>
            </w:pPr>
            <w:r w:rsidRPr="00094BD2">
              <w:rPr>
                <w:szCs w:val="20"/>
              </w:rPr>
              <w:t>The medical condition to be investigated in this intervention is cancer, specifically those where somatic tumour gene panel testing can assist in determining suitability for therapy.</w:t>
            </w:r>
          </w:p>
          <w:p w:rsidR="00094BD2" w:rsidRPr="00094BD2" w:rsidRDefault="00094BD2" w:rsidP="00094BD2">
            <w:pPr>
              <w:spacing w:before="100" w:beforeAutospacing="1" w:after="100" w:afterAutospacing="1"/>
              <w:rPr>
                <w:i/>
                <w:szCs w:val="20"/>
              </w:rPr>
            </w:pPr>
            <w:r w:rsidRPr="00094BD2">
              <w:rPr>
                <w:szCs w:val="20"/>
              </w:rPr>
              <w:t>It is well recognised that cancer is an increasing disease burden in the Australian population. The age-standardised incidence rate for all cancers combined has increased from 383 cases per 100,000 people in 1982 (the year in which national incidence data were first available) to 485 cases per 100,000 people in 2012. In 2012, there were 122,093 new cases of cancer diagnosed in Australia.</w:t>
            </w:r>
            <w:hyperlink r:id="rId23" w:history="1">
              <w:r w:rsidRPr="00094BD2">
                <w:rPr>
                  <w:color w:val="0000FF" w:themeColor="hyperlink"/>
                  <w:szCs w:val="20"/>
                  <w:u w:val="single"/>
                  <w:vertAlign w:val="superscript"/>
                </w:rPr>
                <w:t>a</w:t>
              </w:r>
            </w:hyperlink>
            <w:r w:rsidRPr="00094BD2">
              <w:rPr>
                <w:szCs w:val="20"/>
              </w:rPr>
              <w:t xml:space="preserve"> However, with appropriate diagnosis, treatment options for cancer continue to improve so that in 2008–12, for people newly diagnosed with cancer, there is a 67% chance of surviving five years.</w:t>
            </w:r>
            <w:hyperlink r:id="rId24" w:history="1">
              <w:r w:rsidRPr="00094BD2">
                <w:rPr>
                  <w:color w:val="0000FF" w:themeColor="hyperlink"/>
                  <w:szCs w:val="20"/>
                  <w:u w:val="single"/>
                  <w:vertAlign w:val="superscript"/>
                </w:rPr>
                <w:t>b</w:t>
              </w:r>
            </w:hyperlink>
            <w:r w:rsidRPr="00094BD2">
              <w:rPr>
                <w:szCs w:val="20"/>
              </w:rPr>
              <w:t xml:space="preserve"> At the end of 2010, there were 905,987 people (452,946 males and 453,041 females) diagnosed with cancer in the previous 29 years who were still alive.</w:t>
            </w:r>
            <w:r w:rsidRPr="00094BD2">
              <w:rPr>
                <w:szCs w:val="20"/>
                <w:vertAlign w:val="superscript"/>
              </w:rPr>
              <w:t xml:space="preserve"> </w:t>
            </w:r>
            <w:hyperlink r:id="rId25" w:history="1">
              <w:r w:rsidRPr="00094BD2">
                <w:rPr>
                  <w:color w:val="0000FF" w:themeColor="hyperlink"/>
                  <w:szCs w:val="20"/>
                  <w:u w:val="single"/>
                  <w:vertAlign w:val="superscript"/>
                </w:rPr>
                <w:t>b</w:t>
              </w:r>
            </w:hyperlink>
            <w:r w:rsidRPr="00094BD2">
              <w:rPr>
                <w:szCs w:val="20"/>
                <w:vertAlign w:val="superscript"/>
              </w:rPr>
              <w:t xml:space="preserve"> </w:t>
            </w:r>
            <w:r w:rsidRPr="00094BD2">
              <w:rPr>
                <w:i/>
                <w:szCs w:val="20"/>
              </w:rPr>
              <w:t xml:space="preserve">Source: AIHW analysis of the </w:t>
            </w:r>
            <w:hyperlink r:id="rId26" w:history="1">
              <w:r w:rsidRPr="00094BD2">
                <w:rPr>
                  <w:i/>
                  <w:color w:val="0000FF" w:themeColor="hyperlink"/>
                  <w:szCs w:val="20"/>
                  <w:u w:val="single"/>
                </w:rPr>
                <w:t>Australian Cancer Database</w:t>
              </w:r>
            </w:hyperlink>
            <w:r w:rsidRPr="00094BD2">
              <w:rPr>
                <w:i/>
                <w:szCs w:val="20"/>
              </w:rPr>
              <w:t xml:space="preserve">. </w:t>
            </w:r>
          </w:p>
          <w:p w:rsidR="00094BD2" w:rsidRPr="00094BD2" w:rsidRDefault="00094BD2" w:rsidP="00094BD2">
            <w:pPr>
              <w:spacing w:before="100" w:beforeAutospacing="1" w:after="100" w:afterAutospacing="1"/>
              <w:rPr>
                <w:szCs w:val="20"/>
              </w:rPr>
            </w:pPr>
            <w:r w:rsidRPr="00094BD2">
              <w:rPr>
                <w:szCs w:val="20"/>
              </w:rPr>
              <w:t>New targeted therapies offer hope to patients with advanced cancers for improved quality of life and longer survival rates. Identification of somatic tumour genomic alterations assists in determining the most appropriate allocation of these therapies and is dependent on the availability of accurate, reliable and clinically valid pathology tests.</w:t>
            </w:r>
          </w:p>
          <w:p w:rsidR="00094BD2" w:rsidRPr="00094BD2" w:rsidRDefault="00094BD2" w:rsidP="00094BD2">
            <w:pPr>
              <w:spacing w:before="100" w:beforeAutospacing="1" w:after="100" w:afterAutospacing="1"/>
              <w:rPr>
                <w:szCs w:val="20"/>
              </w:rPr>
            </w:pPr>
            <w:r w:rsidRPr="00094BD2">
              <w:rPr>
                <w:szCs w:val="20"/>
              </w:rPr>
              <w:t>Specific gene rearrangements, mutations and/or copy number changes are seen in a range of neoplasms and detection of these changes is considered best practice to determine the appropriate selection of treatment for particular cancers. A limited range of genetic tests are available with public funding through the Medical Benefit Schedule (Table 1). The proposed testing with somatic tumour gene panels can concurrently identify a wider range of pathognomonic gene changes and therefore provide more information to determine the most suitable treatment.</w:t>
            </w:r>
          </w:p>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BS items for targeted therapy eligibility"/>
              <w:tblDescription w:val="MBS items for targeted therapy eligibility"/>
            </w:tblPr>
            <w:tblGrid>
              <w:gridCol w:w="960"/>
              <w:gridCol w:w="2612"/>
              <w:gridCol w:w="2268"/>
              <w:gridCol w:w="2268"/>
            </w:tblGrid>
            <w:tr w:rsidR="00094BD2" w:rsidRPr="00094BD2" w:rsidTr="00B10871">
              <w:trPr>
                <w:trHeight w:val="288"/>
              </w:trPr>
              <w:tc>
                <w:tcPr>
                  <w:tcW w:w="960" w:type="dxa"/>
                  <w:shd w:val="clear" w:color="auto" w:fill="auto"/>
                  <w:noWrap/>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MBS item</w:t>
                  </w:r>
                </w:p>
              </w:tc>
              <w:tc>
                <w:tcPr>
                  <w:tcW w:w="2612" w:type="dxa"/>
                  <w:shd w:val="clear" w:color="auto" w:fill="auto"/>
                  <w:noWrap/>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Test</w:t>
                  </w:r>
                </w:p>
              </w:tc>
              <w:tc>
                <w:tcPr>
                  <w:tcW w:w="2268" w:type="dxa"/>
                  <w:shd w:val="clear" w:color="auto" w:fill="auto"/>
                  <w:noWrap/>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Cancer</w:t>
                  </w:r>
                </w:p>
              </w:tc>
              <w:tc>
                <w:tcPr>
                  <w:tcW w:w="2268" w:type="dxa"/>
                  <w:shd w:val="clear" w:color="auto" w:fill="auto"/>
                  <w:noWrap/>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Therapy</w:t>
                  </w:r>
                </w:p>
              </w:tc>
            </w:tr>
            <w:tr w:rsidR="00094BD2" w:rsidRPr="00094BD2" w:rsidTr="00B10871">
              <w:trPr>
                <w:trHeight w:val="288"/>
              </w:trPr>
              <w:tc>
                <w:tcPr>
                  <w:tcW w:w="960" w:type="dxa"/>
                  <w:shd w:val="clear" w:color="auto" w:fill="auto"/>
                  <w:noWrap/>
                  <w:vAlign w:val="bottom"/>
                  <w:hideMark/>
                </w:tcPr>
                <w:p w:rsidR="00094BD2" w:rsidRPr="00094BD2" w:rsidRDefault="00094BD2" w:rsidP="00094BD2">
                  <w:pPr>
                    <w:spacing w:before="0" w:after="0"/>
                    <w:jc w:val="right"/>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73336</w:t>
                  </w:r>
                </w:p>
              </w:tc>
              <w:tc>
                <w:tcPr>
                  <w:tcW w:w="2612"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BRAF V600</w:t>
                  </w:r>
                </w:p>
              </w:tc>
              <w:tc>
                <w:tcPr>
                  <w:tcW w:w="2268"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melanoma</w:t>
                  </w:r>
                </w:p>
              </w:tc>
              <w:tc>
                <w:tcPr>
                  <w:tcW w:w="2268"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dabrafenib</w:t>
                  </w:r>
                </w:p>
              </w:tc>
            </w:tr>
            <w:tr w:rsidR="00094BD2" w:rsidRPr="00094BD2" w:rsidTr="00B10871">
              <w:trPr>
                <w:trHeight w:val="288"/>
              </w:trPr>
              <w:tc>
                <w:tcPr>
                  <w:tcW w:w="960" w:type="dxa"/>
                  <w:shd w:val="clear" w:color="auto" w:fill="auto"/>
                  <w:noWrap/>
                  <w:vAlign w:val="bottom"/>
                  <w:hideMark/>
                </w:tcPr>
                <w:p w:rsidR="00094BD2" w:rsidRPr="00094BD2" w:rsidRDefault="00094BD2" w:rsidP="00094BD2">
                  <w:pPr>
                    <w:spacing w:before="0" w:after="0"/>
                    <w:jc w:val="right"/>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73337</w:t>
                  </w:r>
                </w:p>
              </w:tc>
              <w:tc>
                <w:tcPr>
                  <w:tcW w:w="2612"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EGFR status</w:t>
                  </w:r>
                </w:p>
              </w:tc>
              <w:tc>
                <w:tcPr>
                  <w:tcW w:w="2268"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non-small cell lung cancer</w:t>
                  </w:r>
                </w:p>
              </w:tc>
              <w:tc>
                <w:tcPr>
                  <w:tcW w:w="2268"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erlotinib or gefitinib</w:t>
                  </w:r>
                </w:p>
              </w:tc>
            </w:tr>
            <w:tr w:rsidR="00094BD2" w:rsidRPr="00094BD2" w:rsidTr="00B10871">
              <w:trPr>
                <w:trHeight w:val="288"/>
              </w:trPr>
              <w:tc>
                <w:tcPr>
                  <w:tcW w:w="960" w:type="dxa"/>
                  <w:shd w:val="clear" w:color="auto" w:fill="auto"/>
                  <w:noWrap/>
                  <w:vAlign w:val="bottom"/>
                  <w:hideMark/>
                </w:tcPr>
                <w:p w:rsidR="00094BD2" w:rsidRPr="00094BD2" w:rsidRDefault="00094BD2" w:rsidP="00094BD2">
                  <w:pPr>
                    <w:spacing w:before="0" w:after="0"/>
                    <w:jc w:val="right"/>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73338</w:t>
                  </w:r>
                </w:p>
              </w:tc>
              <w:tc>
                <w:tcPr>
                  <w:tcW w:w="2612"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RAS mutation</w:t>
                  </w:r>
                </w:p>
              </w:tc>
              <w:tc>
                <w:tcPr>
                  <w:tcW w:w="2268"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colorectal cancer</w:t>
                  </w:r>
                </w:p>
              </w:tc>
              <w:tc>
                <w:tcPr>
                  <w:tcW w:w="2268"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cetuximab or panitumumab</w:t>
                  </w:r>
                </w:p>
              </w:tc>
            </w:tr>
            <w:tr w:rsidR="00094BD2" w:rsidRPr="00094BD2" w:rsidTr="00B10871">
              <w:trPr>
                <w:trHeight w:val="288"/>
              </w:trPr>
              <w:tc>
                <w:tcPr>
                  <w:tcW w:w="960" w:type="dxa"/>
                  <w:shd w:val="clear" w:color="auto" w:fill="auto"/>
                  <w:noWrap/>
                  <w:vAlign w:val="bottom"/>
                  <w:hideMark/>
                </w:tcPr>
                <w:p w:rsidR="00094BD2" w:rsidRPr="00094BD2" w:rsidRDefault="00094BD2" w:rsidP="00094BD2">
                  <w:pPr>
                    <w:spacing w:before="0" w:after="0"/>
                    <w:jc w:val="right"/>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73341</w:t>
                  </w:r>
                </w:p>
              </w:tc>
              <w:tc>
                <w:tcPr>
                  <w:tcW w:w="2612"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ALK gene rearrangement status</w:t>
                  </w:r>
                </w:p>
              </w:tc>
              <w:tc>
                <w:tcPr>
                  <w:tcW w:w="2268"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non-small cell lung cancer</w:t>
                  </w:r>
                </w:p>
              </w:tc>
              <w:tc>
                <w:tcPr>
                  <w:tcW w:w="2268" w:type="dxa"/>
                  <w:shd w:val="clear" w:color="auto" w:fill="auto"/>
                  <w:noWrap/>
                  <w:vAlign w:val="bottom"/>
                  <w:hideMark/>
                </w:tcPr>
                <w:p w:rsidR="00094BD2" w:rsidRPr="00094BD2" w:rsidRDefault="00094BD2" w:rsidP="00094BD2">
                  <w:pPr>
                    <w:spacing w:before="0" w:after="0"/>
                    <w:rPr>
                      <w:rFonts w:ascii="Calibri" w:eastAsia="Times New Roman" w:hAnsi="Calibri" w:cs="Times New Roman"/>
                      <w:color w:val="000000"/>
                      <w:sz w:val="18"/>
                      <w:szCs w:val="18"/>
                      <w:lang w:eastAsia="en-AU"/>
                    </w:rPr>
                  </w:pPr>
                  <w:r w:rsidRPr="00094BD2">
                    <w:rPr>
                      <w:rFonts w:ascii="Calibri" w:eastAsia="Times New Roman" w:hAnsi="Calibri" w:cs="Times New Roman"/>
                      <w:color w:val="000000"/>
                      <w:sz w:val="18"/>
                      <w:szCs w:val="18"/>
                      <w:lang w:eastAsia="en-AU"/>
                    </w:rPr>
                    <w:t>crizotinib or ceritinib</w:t>
                  </w:r>
                </w:p>
              </w:tc>
            </w:tr>
          </w:tbl>
          <w:p w:rsidR="00094BD2" w:rsidRPr="00EB67FB" w:rsidRDefault="00094BD2" w:rsidP="00094BD2">
            <w:pPr>
              <w:spacing w:before="0" w:after="100" w:afterAutospacing="1"/>
              <w:rPr>
                <w:sz w:val="16"/>
                <w:szCs w:val="16"/>
              </w:rPr>
            </w:pPr>
            <w:r w:rsidRPr="00EB67FB">
              <w:rPr>
                <w:sz w:val="16"/>
                <w:szCs w:val="16"/>
              </w:rPr>
              <w:t>Table 1 MBS items for targeted therapy eligibility</w:t>
            </w:r>
          </w:p>
          <w:p w:rsidR="00094BD2" w:rsidRPr="00094BD2" w:rsidRDefault="00094BD2" w:rsidP="00094BD2">
            <w:pPr>
              <w:spacing w:before="100" w:beforeAutospacing="1" w:after="100" w:afterAutospacing="1"/>
              <w:rPr>
                <w:szCs w:val="20"/>
              </w:rPr>
            </w:pPr>
            <w:r w:rsidRPr="00094BD2">
              <w:rPr>
                <w:szCs w:val="20"/>
              </w:rPr>
              <w:t>The use of somatic gene panels minimises the cost of testing for multiple tumour markers and decreases the risk of treatment with inappropriate therapies. In contrast to sequential testing currently available, somatic gene panels are particularly useful on limited biopsy material to avoid repeat invasive biopsy procedures with attendant increased costs and risks to the patient.  This would also minimise the need for multiple episodes of paraffin block retrieval for sequential testing rather than panel testing where one retrieval only would generally be required.</w:t>
            </w:r>
          </w:p>
          <w:p w:rsidR="00094BD2" w:rsidRPr="00094BD2" w:rsidRDefault="00094BD2" w:rsidP="00094BD2">
            <w:pPr>
              <w:spacing w:before="100" w:beforeAutospacing="1" w:after="100" w:afterAutospacing="1"/>
              <w:rPr>
                <w:szCs w:val="20"/>
              </w:rPr>
            </w:pPr>
            <w:r w:rsidRPr="00094BD2">
              <w:rPr>
                <w:szCs w:val="20"/>
              </w:rPr>
              <w:t xml:space="preserve">For example, use of somatic gene panels could improve the testing of lung cancer patients by including HER2 and BRAF with the currently funded ALK and EGFR in a single test and offer patients wider treatment options including triage for participation in clinical trials. In colorectal cancer patients, both RAS mutations (kRAS and nRAS) could be tested concurrently for a single fee rather than sequentially as is possible in the current MBS arrangement. It should be noted that BRAF positivity in colorectal cancer may influence choice and timing of therapy more effectively than </w:t>
            </w:r>
            <w:r w:rsidRPr="00094BD2">
              <w:rPr>
                <w:szCs w:val="20"/>
              </w:rPr>
              <w:lastRenderedPageBreak/>
              <w:t xml:space="preserve">therapies allocated on the basis of RAS mutation status alone and highlights the importance of testing for BRAF concurrently to identify these patients with poorer prognosis (Sepulveda, 2017). </w:t>
            </w:r>
          </w:p>
          <w:p w:rsidR="00094BD2" w:rsidRPr="00094BD2" w:rsidRDefault="00094BD2" w:rsidP="00094BD2">
            <w:pPr>
              <w:spacing w:before="100" w:beforeAutospacing="1" w:after="100" w:afterAutospacing="1"/>
              <w:rPr>
                <w:szCs w:val="20"/>
              </w:rPr>
            </w:pPr>
            <w:r w:rsidRPr="00094BD2">
              <w:rPr>
                <w:szCs w:val="20"/>
              </w:rPr>
              <w:t>Routine use of somatic cancer panel testing has been shown in Australia to provide potentially very useful information regarding the early development of resistance in lung cancer patients with EGFR mutations and additional co-mutations (Barnet, 2016). This can allow clinicians to follow patients more closely and prompt early referral for new clinical trials or different therapeutic approaches.</w:t>
            </w:r>
          </w:p>
          <w:p w:rsidR="00094BD2" w:rsidRPr="00094BD2" w:rsidRDefault="00094BD2" w:rsidP="00094BD2">
            <w:pPr>
              <w:spacing w:before="100" w:beforeAutospacing="1" w:after="100" w:afterAutospacing="1"/>
              <w:rPr>
                <w:szCs w:val="20"/>
              </w:rPr>
            </w:pPr>
            <w:r w:rsidRPr="00094BD2">
              <w:rPr>
                <w:szCs w:val="20"/>
              </w:rPr>
              <w:t>Somatic gene panels would also allow for greater flexibility in pathology testing as new targeted therapies become available and reduce the burden of co-dependent MBS applications for new PBS items.</w:t>
            </w:r>
          </w:p>
          <w:p w:rsidR="00094BD2" w:rsidRPr="00094BD2" w:rsidRDefault="00094BD2" w:rsidP="00094BD2">
            <w:pPr>
              <w:spacing w:before="0"/>
              <w:rPr>
                <w:sz w:val="18"/>
                <w:szCs w:val="18"/>
              </w:rPr>
            </w:pPr>
            <w:r w:rsidRPr="00094BD2">
              <w:rPr>
                <w:sz w:val="18"/>
                <w:szCs w:val="18"/>
              </w:rPr>
              <w:t xml:space="preserve">References: </w:t>
            </w:r>
          </w:p>
          <w:p w:rsidR="00094BD2" w:rsidRPr="00094BD2" w:rsidRDefault="00094BD2" w:rsidP="00094BD2">
            <w:pPr>
              <w:numPr>
                <w:ilvl w:val="0"/>
                <w:numId w:val="38"/>
              </w:numPr>
              <w:spacing w:before="0" w:after="0"/>
              <w:ind w:left="318" w:hanging="284"/>
              <w:rPr>
                <w:sz w:val="18"/>
                <w:szCs w:val="18"/>
              </w:rPr>
            </w:pPr>
            <w:r w:rsidRPr="00094BD2">
              <w:rPr>
                <w:sz w:val="18"/>
                <w:szCs w:val="18"/>
              </w:rPr>
              <w:t>Sepulveda AR, Hamilton SR, Allegra CJ, et al: Molecular Biomarkers for the Evaluation of Colorectal Cancer: Guideline From the American Society for Clinical Pathology, College of American Pathologists, Association for Molecular Pathology, and the American Society of Clinical Oncology. J Clin Oncol:JCO.2016.71.9807, 2017</w:t>
            </w:r>
          </w:p>
          <w:p w:rsidR="00094BD2" w:rsidRPr="00094BD2" w:rsidRDefault="00094BD2" w:rsidP="00094BD2">
            <w:pPr>
              <w:numPr>
                <w:ilvl w:val="0"/>
                <w:numId w:val="38"/>
              </w:numPr>
              <w:spacing w:before="0" w:after="0"/>
              <w:ind w:left="318" w:hanging="284"/>
              <w:rPr>
                <w:sz w:val="18"/>
                <w:szCs w:val="18"/>
              </w:rPr>
            </w:pPr>
            <w:r w:rsidRPr="00094BD2">
              <w:rPr>
                <w:sz w:val="18"/>
                <w:szCs w:val="18"/>
              </w:rPr>
              <w:t>Barnet, M.B., et al., EGFR-Co-Mutated Advanced NSCLC and Response to EGFR Tyrosine Kinase Inhibitors. J Thorac Oncol, online Sep 2016 ahead of publication, 10.1016/j.jtho.2016.09.001</w:t>
            </w:r>
          </w:p>
        </w:tc>
      </w:tr>
    </w:tbl>
    <w:p w:rsidR="00AA5FDA" w:rsidRPr="00154B00" w:rsidRDefault="00AA5FDA" w:rsidP="00530204">
      <w:pPr>
        <w:pStyle w:val="Heading2"/>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094BD2" w:rsidRDefault="00094BD2" w:rsidP="00094BD2">
      <w:pPr>
        <w:ind w:left="360"/>
        <w:rPr>
          <w:szCs w:val="20"/>
        </w:rPr>
      </w:pPr>
      <w:r w:rsidRPr="00E87FAB">
        <w:rPr>
          <w:szCs w:val="20"/>
        </w:rPr>
        <w:t xml:space="preserve">Patients diagnosed with </w:t>
      </w:r>
      <w:r>
        <w:rPr>
          <w:szCs w:val="20"/>
        </w:rPr>
        <w:t>cancers</w:t>
      </w:r>
      <w:r w:rsidRPr="00E87FAB">
        <w:rPr>
          <w:szCs w:val="20"/>
        </w:rPr>
        <w:t xml:space="preserve"> </w:t>
      </w:r>
      <w:r>
        <w:rPr>
          <w:szCs w:val="20"/>
        </w:rPr>
        <w:t>on</w:t>
      </w:r>
      <w:r w:rsidRPr="00E87FAB">
        <w:rPr>
          <w:szCs w:val="20"/>
        </w:rPr>
        <w:t xml:space="preserve"> histopathological or morphological </w:t>
      </w:r>
      <w:r>
        <w:rPr>
          <w:szCs w:val="20"/>
        </w:rPr>
        <w:t>investigation</w:t>
      </w:r>
      <w:r w:rsidRPr="00E87FAB">
        <w:rPr>
          <w:szCs w:val="20"/>
        </w:rPr>
        <w:t xml:space="preserve"> of tumour material</w:t>
      </w:r>
      <w:r>
        <w:rPr>
          <w:szCs w:val="20"/>
        </w:rPr>
        <w:t xml:space="preserve"> would be eligible for this service to determine suitability for an available therapy.</w:t>
      </w: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094BD2" w:rsidRPr="00094BD2" w:rsidRDefault="00094BD2" w:rsidP="00094BD2">
      <w:pPr>
        <w:spacing w:before="0" w:after="0"/>
        <w:ind w:left="357"/>
        <w:rPr>
          <w:szCs w:val="20"/>
        </w:rPr>
      </w:pPr>
      <w:bookmarkStart w:id="4" w:name="_Hlk499032521"/>
      <w:r w:rsidRPr="00094BD2">
        <w:rPr>
          <w:szCs w:val="20"/>
        </w:rPr>
        <w:t>The clinical management pathway would be identical to current cancer investigation and treatment:</w:t>
      </w:r>
    </w:p>
    <w:p w:rsidR="00094BD2" w:rsidRPr="00094BD2" w:rsidRDefault="00094BD2" w:rsidP="000269EE">
      <w:pPr>
        <w:spacing w:before="0" w:after="0"/>
        <w:ind w:left="357" w:firstLine="363"/>
        <w:rPr>
          <w:szCs w:val="20"/>
        </w:rPr>
      </w:pPr>
      <w:r w:rsidRPr="00094BD2">
        <w:rPr>
          <w:szCs w:val="20"/>
        </w:rPr>
        <w:t>Patient presentation to general or specialist medical practitioner with evidence of cancer.</w:t>
      </w:r>
    </w:p>
    <w:p w:rsidR="00094BD2" w:rsidRPr="00094BD2" w:rsidRDefault="00094BD2" w:rsidP="000269EE">
      <w:pPr>
        <w:spacing w:before="0" w:after="0"/>
        <w:ind w:left="357" w:firstLine="363"/>
        <w:rPr>
          <w:szCs w:val="20"/>
        </w:rPr>
      </w:pPr>
      <w:r w:rsidRPr="00094BD2">
        <w:rPr>
          <w:szCs w:val="20"/>
        </w:rPr>
        <w:t xml:space="preserve">Patient is referred for biopsy for pathological investigation. </w:t>
      </w:r>
    </w:p>
    <w:p w:rsidR="00094BD2" w:rsidRPr="00094BD2" w:rsidRDefault="00094BD2" w:rsidP="000269EE">
      <w:pPr>
        <w:spacing w:before="0" w:after="0"/>
        <w:ind w:left="357" w:firstLine="363"/>
        <w:rPr>
          <w:szCs w:val="20"/>
        </w:rPr>
      </w:pPr>
      <w:r w:rsidRPr="00094BD2">
        <w:rPr>
          <w:szCs w:val="20"/>
        </w:rPr>
        <w:t xml:space="preserve">Diagnosis of cancer is reported. </w:t>
      </w:r>
    </w:p>
    <w:p w:rsidR="00094BD2" w:rsidRDefault="00094BD2" w:rsidP="000269EE">
      <w:pPr>
        <w:spacing w:before="0" w:after="0"/>
        <w:ind w:left="720"/>
        <w:rPr>
          <w:szCs w:val="20"/>
        </w:rPr>
      </w:pPr>
      <w:r w:rsidRPr="00094BD2">
        <w:rPr>
          <w:szCs w:val="20"/>
        </w:rPr>
        <w:t>The treating medical practitioner requests further pathological investigations on the biopsy material to identify genomic alterations to determine appropriate therapy.</w:t>
      </w:r>
    </w:p>
    <w:p w:rsidR="000269EE" w:rsidRPr="00094BD2" w:rsidRDefault="000269EE" w:rsidP="000269EE">
      <w:pPr>
        <w:spacing w:before="0" w:after="0"/>
        <w:ind w:left="720"/>
        <w:rPr>
          <w:szCs w:val="20"/>
        </w:rPr>
      </w:pPr>
    </w:p>
    <w:p w:rsidR="00094BD2" w:rsidRDefault="00094BD2" w:rsidP="00094BD2">
      <w:pPr>
        <w:spacing w:before="0" w:after="0"/>
        <w:ind w:left="357"/>
        <w:rPr>
          <w:szCs w:val="20"/>
        </w:rPr>
      </w:pPr>
      <w:r w:rsidRPr="00094BD2">
        <w:rPr>
          <w:szCs w:val="20"/>
        </w:rPr>
        <w:t>See Appendix A Flowcharts</w:t>
      </w:r>
    </w:p>
    <w:bookmarkEnd w:id="4"/>
    <w:p w:rsidR="002A50FD" w:rsidRPr="00881F93" w:rsidRDefault="005C3AE7" w:rsidP="005C3AE7">
      <w:pPr>
        <w:pStyle w:val="Subtitle"/>
      </w:pPr>
      <w:r>
        <w:t xml:space="preserve">PART 6b – </w:t>
      </w:r>
      <w:r w:rsidR="002A50FD" w:rsidRPr="00881F93">
        <w:t>INFORMATION ABOUT THE INTERVENTION</w:t>
      </w:r>
    </w:p>
    <w:p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2A50FD" w:rsidRPr="00154B00" w:rsidRDefault="00094BD2" w:rsidP="00E357B9">
      <w:pPr>
        <w:ind w:left="426"/>
        <w:rPr>
          <w:szCs w:val="20"/>
        </w:rPr>
      </w:pPr>
      <w:r w:rsidRPr="00413F41">
        <w:rPr>
          <w:szCs w:val="20"/>
        </w:rPr>
        <w:t>A test of tumour tissue from a</w:t>
      </w:r>
      <w:r>
        <w:rPr>
          <w:szCs w:val="20"/>
        </w:rPr>
        <w:t xml:space="preserve"> patient diagnosed with cancer </w:t>
      </w:r>
      <w:r w:rsidRPr="00413F41">
        <w:rPr>
          <w:szCs w:val="20"/>
        </w:rPr>
        <w:t xml:space="preserve">to </w:t>
      </w:r>
      <w:r>
        <w:rPr>
          <w:szCs w:val="20"/>
        </w:rPr>
        <w:t>genomic alterations</w:t>
      </w:r>
      <w:r w:rsidRPr="00413F41">
        <w:rPr>
          <w:szCs w:val="20"/>
        </w:rPr>
        <w:t xml:space="preserve"> in</w:t>
      </w:r>
      <w:r>
        <w:rPr>
          <w:szCs w:val="20"/>
        </w:rPr>
        <w:t xml:space="preserve"> cancer cells (</w:t>
      </w:r>
      <w:r w:rsidRPr="00413F41">
        <w:rPr>
          <w:szCs w:val="20"/>
        </w:rPr>
        <w:t>tumour tissue</w:t>
      </w:r>
      <w:r>
        <w:rPr>
          <w:szCs w:val="20"/>
        </w:rPr>
        <w:t>, bone marrow or blood)</w:t>
      </w:r>
      <w:r w:rsidRPr="00413F41">
        <w:rPr>
          <w:szCs w:val="20"/>
        </w:rPr>
        <w:t>. Testing methods include In situ hybridization (ISH), polymerase chain reaction (PCR) and next generation sequencing (NGS) methodologies</w:t>
      </w:r>
      <w:r>
        <w:rPr>
          <w:szCs w:val="20"/>
        </w:rPr>
        <w:t xml:space="preserve"> among others</w:t>
      </w:r>
      <w:r w:rsidRPr="00413F41">
        <w:rPr>
          <w:szCs w:val="20"/>
        </w:rPr>
        <w:t>.</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Pr="00154B00" w:rsidRDefault="00094BD2" w:rsidP="00E357B9">
      <w:pPr>
        <w:ind w:left="426"/>
        <w:rPr>
          <w:szCs w:val="20"/>
        </w:rPr>
      </w:pPr>
      <w:r>
        <w:fldChar w:fldCharType="begin">
          <w:ffData>
            <w:name w:val=""/>
            <w:enabled/>
            <w:calcOnExit w:val="0"/>
            <w:textInput>
              <w:default w:val="No"/>
            </w:textInput>
          </w:ffData>
        </w:fldChar>
      </w:r>
      <w:r>
        <w:instrText xml:space="preserve"> FORMTEXT </w:instrText>
      </w:r>
      <w:r>
        <w:fldChar w:fldCharType="separate"/>
      </w:r>
      <w:r>
        <w:rPr>
          <w:noProof/>
        </w:rPr>
        <w:t>No</w:t>
      </w:r>
      <w:r>
        <w:fldChar w:fldCharType="end"/>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094BD2" w:rsidP="00E357B9">
      <w:pPr>
        <w:ind w:left="426"/>
        <w:rPr>
          <w:b/>
          <w:szCs w:val="20"/>
        </w:rPr>
      </w:pPr>
      <w:r>
        <w:fldChar w:fldCharType="begin">
          <w:ffData>
            <w:name w:val=""/>
            <w:enabled/>
            <w:calcOnExit w:val="0"/>
            <w:textInput>
              <w:default w:val="No"/>
            </w:textInput>
          </w:ffData>
        </w:fldChar>
      </w:r>
      <w:r>
        <w:instrText xml:space="preserve"> FORMTEXT </w:instrText>
      </w:r>
      <w:r>
        <w:fldChar w:fldCharType="separate"/>
      </w:r>
      <w:r>
        <w:rPr>
          <w:noProof/>
        </w:rPr>
        <w:t>No</w:t>
      </w:r>
      <w:r>
        <w:fldChar w:fldCharType="end"/>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0F1C83" w:rsidP="00E357B9">
      <w:pPr>
        <w:ind w:left="426"/>
        <w:rPr>
          <w:szCs w:val="20"/>
        </w:rPr>
      </w:pPr>
      <w:r w:rsidRPr="00D12288">
        <w:rPr>
          <w:szCs w:val="20"/>
        </w:rPr>
        <w:lastRenderedPageBreak/>
        <w:t xml:space="preserve">Testing would be provided </w:t>
      </w:r>
      <w:r>
        <w:rPr>
          <w:szCs w:val="20"/>
        </w:rPr>
        <w:t>as requested by the referring medical practitioner for patients with neoplastic disease requiring further classification after initial tissue pathology or haematological investigation for determination of the suitability of therapy. Follow up testing could be provided to identify resistance to therapy.</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0F1C83" w:rsidP="00884E69">
      <w:pPr>
        <w:ind w:left="426"/>
        <w:rPr>
          <w:szCs w:val="20"/>
        </w:rPr>
      </w:pPr>
      <w:r>
        <w:t>N/A</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0F1C83" w:rsidP="00884E69">
      <w:pPr>
        <w:ind w:left="426"/>
        <w:rPr>
          <w:szCs w:val="20"/>
        </w:rPr>
      </w:pPr>
      <w:r>
        <w:rPr>
          <w:szCs w:val="20"/>
        </w:rPr>
        <w:t>Testing would be provided by</w:t>
      </w:r>
      <w:r w:rsidRPr="00957DAD">
        <w:rPr>
          <w:szCs w:val="20"/>
        </w:rPr>
        <w:t xml:space="preserve"> </w:t>
      </w:r>
      <w:r w:rsidRPr="00BE36D8">
        <w:rPr>
          <w:szCs w:val="20"/>
        </w:rPr>
        <w:t>Approved Pathology Practi</w:t>
      </w:r>
      <w:r>
        <w:rPr>
          <w:szCs w:val="20"/>
        </w:rPr>
        <w:t>ti</w:t>
      </w:r>
      <w:r w:rsidRPr="00BE36D8">
        <w:rPr>
          <w:szCs w:val="20"/>
        </w:rPr>
        <w:t xml:space="preserve">oners </w:t>
      </w:r>
      <w:r w:rsidRPr="00957DAD">
        <w:rPr>
          <w:szCs w:val="20"/>
        </w:rPr>
        <w:t>in line with other tests in the MBS Pathology Table</w:t>
      </w:r>
      <w:r>
        <w:rPr>
          <w:szCs w:val="20"/>
        </w:rPr>
        <w:t>.</w:t>
      </w:r>
      <w:r w:rsidRPr="00154B00">
        <w:rPr>
          <w:szCs w:val="20"/>
        </w:rPr>
        <w:t xml:space="preserve"> </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0F1C83" w:rsidP="00884E69">
      <w:pPr>
        <w:ind w:left="426"/>
        <w:rPr>
          <w:szCs w:val="20"/>
        </w:rPr>
      </w:pPr>
      <w:r>
        <w:t>N/A</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154B00" w:rsidRDefault="000F1C83" w:rsidP="00BC424B">
      <w:pPr>
        <w:ind w:left="426"/>
        <w:rPr>
          <w:szCs w:val="20"/>
        </w:rPr>
      </w:pPr>
      <w:r>
        <w:rPr>
          <w:szCs w:val="20"/>
        </w:rPr>
        <w:t>Testing</w:t>
      </w:r>
      <w:r w:rsidRPr="00957DAD">
        <w:rPr>
          <w:szCs w:val="20"/>
        </w:rPr>
        <w:t xml:space="preserve"> would be </w:t>
      </w:r>
      <w:r>
        <w:rPr>
          <w:szCs w:val="20"/>
        </w:rPr>
        <w:t xml:space="preserve">delivered only by </w:t>
      </w:r>
      <w:r w:rsidRPr="00BE36D8">
        <w:rPr>
          <w:szCs w:val="20"/>
        </w:rPr>
        <w:t>Approved Pathology Practi</w:t>
      </w:r>
      <w:r>
        <w:rPr>
          <w:szCs w:val="20"/>
        </w:rPr>
        <w:t>ti</w:t>
      </w:r>
      <w:r w:rsidRPr="00BE36D8">
        <w:rPr>
          <w:szCs w:val="20"/>
        </w:rPr>
        <w:t xml:space="preserve">oners </w:t>
      </w:r>
      <w:r>
        <w:rPr>
          <w:szCs w:val="20"/>
        </w:rPr>
        <w:t xml:space="preserve">in Accredited Pathology Laboratories (as defined in MBS Pathology table) </w:t>
      </w:r>
      <w:r w:rsidRPr="00957DAD">
        <w:rPr>
          <w:szCs w:val="20"/>
        </w:rPr>
        <w:t xml:space="preserve">by referral </w:t>
      </w:r>
      <w:r>
        <w:rPr>
          <w:szCs w:val="20"/>
        </w:rPr>
        <w:t xml:space="preserve">only </w:t>
      </w:r>
      <w:r w:rsidRPr="00957DAD">
        <w:rPr>
          <w:szCs w:val="20"/>
        </w:rPr>
        <w:t>by registered Medical Practitioners</w:t>
      </w:r>
      <w:r>
        <w:rPr>
          <w:szCs w:val="20"/>
        </w:rPr>
        <w:t xml:space="preserve"> (non-pathologists)</w:t>
      </w:r>
      <w:r w:rsidRPr="00957DAD">
        <w:rPr>
          <w:szCs w:val="20"/>
        </w:rPr>
        <w:t xml:space="preserve"> in line with other tests in the MBS Pathology Table.</w:t>
      </w:r>
      <w:r w:rsidRPr="00154B00">
        <w:rPr>
          <w:szCs w:val="20"/>
        </w:rPr>
        <w:t xml:space="preserve"> </w:t>
      </w:r>
    </w:p>
    <w:p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EA0E25" w:rsidRPr="00154B00" w:rsidRDefault="000F1C83" w:rsidP="0073597B">
      <w:pPr>
        <w:ind w:left="426"/>
        <w:rPr>
          <w:szCs w:val="20"/>
        </w:rPr>
      </w:pPr>
      <w:r>
        <w:rPr>
          <w:szCs w:val="20"/>
        </w:rPr>
        <w:t>Testing</w:t>
      </w:r>
      <w:r w:rsidRPr="00957DAD">
        <w:rPr>
          <w:szCs w:val="20"/>
        </w:rPr>
        <w:t xml:space="preserve"> would be </w:t>
      </w:r>
      <w:r>
        <w:rPr>
          <w:szCs w:val="20"/>
        </w:rPr>
        <w:t xml:space="preserve">delivered only by </w:t>
      </w:r>
      <w:r w:rsidRPr="00BE36D8">
        <w:rPr>
          <w:szCs w:val="20"/>
        </w:rPr>
        <w:t>Approved Pathology Practi</w:t>
      </w:r>
      <w:r>
        <w:rPr>
          <w:szCs w:val="20"/>
        </w:rPr>
        <w:t>ti</w:t>
      </w:r>
      <w:r w:rsidRPr="00BE36D8">
        <w:rPr>
          <w:szCs w:val="20"/>
        </w:rPr>
        <w:t xml:space="preserve">oners </w:t>
      </w:r>
      <w:r>
        <w:rPr>
          <w:szCs w:val="20"/>
        </w:rPr>
        <w:t>in Accredited Pathology Laboratories (as defined in MBS Pathology table).</w:t>
      </w:r>
      <w:r w:rsidRPr="00154B00">
        <w:rPr>
          <w:szCs w:val="20"/>
        </w:rPr>
        <w:t xml:space="preserve"> </w:t>
      </w:r>
    </w:p>
    <w:p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w:t>
      </w:r>
      <w:r>
        <w:t>Inpatient private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w:t>
      </w:r>
      <w:r>
        <w:t>Inpatient public hospital</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w:t>
      </w:r>
      <w:r>
        <w:t>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w:t>
      </w:r>
      <w:r>
        <w:t>Consulting rooms</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w:t>
      </w:r>
      <w:r>
        <w:t>Day surgery centre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w:t>
      </w:r>
      <w:r>
        <w:t>Patient’s home</w:t>
      </w:r>
    </w:p>
    <w:p w:rsidR="000A478F" w:rsidRDefault="000F1C8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0A478F">
        <w:rPr>
          <w:szCs w:val="20"/>
        </w:rPr>
        <w:t xml:space="preserve"> </w:t>
      </w:r>
      <w:r w:rsidR="000A478F">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470ED">
        <w:rPr>
          <w:szCs w:val="20"/>
        </w:rPr>
      </w:r>
      <w:r w:rsidR="00C470ED">
        <w:rPr>
          <w:szCs w:val="20"/>
        </w:rPr>
        <w:fldChar w:fldCharType="separate"/>
      </w:r>
      <w:r w:rsidRPr="000A5B32">
        <w:rPr>
          <w:szCs w:val="20"/>
        </w:rPr>
        <w:fldChar w:fldCharType="end"/>
      </w:r>
      <w:r>
        <w:rPr>
          <w:szCs w:val="20"/>
        </w:rPr>
        <w:t xml:space="preserve"> </w:t>
      </w:r>
      <w:r>
        <w:t>Other – please specify below</w:t>
      </w:r>
    </w:p>
    <w:p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Default="000269EE" w:rsidP="0073597B">
      <w:pPr>
        <w:ind w:left="426"/>
        <w:rPr>
          <w:b/>
          <w:szCs w:val="20"/>
        </w:rPr>
      </w:pPr>
      <w:r>
        <w:fldChar w:fldCharType="begin">
          <w:ffData>
            <w:name w:val=""/>
            <w:enabled/>
            <w:calcOnExit w:val="0"/>
            <w:textInput>
              <w:default w:val="N/A"/>
            </w:textInput>
          </w:ffData>
        </w:fldChar>
      </w:r>
      <w:r>
        <w:instrText xml:space="preserve"> FORMTEXT </w:instrText>
      </w:r>
      <w:r>
        <w:fldChar w:fldCharType="separate"/>
      </w:r>
      <w:r>
        <w:rPr>
          <w:noProof/>
        </w:rPr>
        <w:t>N/A</w:t>
      </w:r>
      <w:r>
        <w:fldChar w:fldCharType="end"/>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0F1C8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470ED">
        <w:rPr>
          <w:szCs w:val="20"/>
        </w:rPr>
      </w:r>
      <w:r w:rsidR="00C470ED">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0A478F">
      <w:pPr>
        <w:ind w:left="426"/>
      </w:pPr>
      <w:r>
        <w:fldChar w:fldCharType="begin">
          <w:ffData>
            <w:name w:val="Text1"/>
            <w:enabled/>
            <w:calcOnExit w:val="0"/>
            <w:textInput>
              <w:default w:val="Specify further details here"/>
            </w:textInput>
          </w:ffData>
        </w:fldChar>
      </w:r>
      <w:bookmarkStart w:id="5" w:name="Text1"/>
      <w:r>
        <w:instrText xml:space="preserve"> FORMTEXT </w:instrText>
      </w:r>
      <w:r>
        <w:fldChar w:fldCharType="separate"/>
      </w:r>
      <w:r>
        <w:rPr>
          <w:noProof/>
        </w:rPr>
        <w:t>Specify further details here</w:t>
      </w:r>
      <w:r>
        <w:fldChar w:fldCharType="end"/>
      </w:r>
      <w:bookmarkEnd w:id="5"/>
    </w:p>
    <w:p w:rsidR="000A478F" w:rsidRDefault="000A478F" w:rsidP="00881F93">
      <w:pPr>
        <w:rPr>
          <w:b/>
          <w:i/>
          <w:szCs w:val="20"/>
          <w:u w:val="single"/>
        </w:rPr>
      </w:pPr>
      <w:r>
        <w:rPr>
          <w:b/>
          <w:i/>
          <w:szCs w:val="20"/>
          <w:u w:val="single"/>
        </w:rPr>
        <w:br w:type="page"/>
      </w:r>
    </w:p>
    <w:p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E60529" w:rsidRPr="00154B00" w:rsidRDefault="000F1C83" w:rsidP="001B29A1">
      <w:pPr>
        <w:ind w:left="426"/>
        <w:rPr>
          <w:szCs w:val="20"/>
        </w:rPr>
      </w:pPr>
      <w:r w:rsidRPr="00D12288">
        <w:rPr>
          <w:szCs w:val="20"/>
        </w:rPr>
        <w:t>The comparator</w:t>
      </w:r>
      <w:r>
        <w:rPr>
          <w:szCs w:val="20"/>
        </w:rPr>
        <w:t>s for the proposed medical service</w:t>
      </w:r>
      <w:r w:rsidRPr="00D12288">
        <w:rPr>
          <w:szCs w:val="20"/>
        </w:rPr>
        <w:t xml:space="preserve"> </w:t>
      </w:r>
      <w:r>
        <w:rPr>
          <w:szCs w:val="20"/>
        </w:rPr>
        <w:t>are</w:t>
      </w:r>
      <w:r w:rsidRPr="00D12288">
        <w:rPr>
          <w:szCs w:val="20"/>
        </w:rPr>
        <w:t xml:space="preserve"> </w:t>
      </w:r>
      <w:r>
        <w:rPr>
          <w:szCs w:val="20"/>
        </w:rPr>
        <w:t>the current pathology test items outlined earlier for ALK, EGFR, BRAF and RAS testing. S</w:t>
      </w:r>
      <w:r w:rsidRPr="00D01EA6">
        <w:rPr>
          <w:szCs w:val="20"/>
        </w:rPr>
        <w:t xml:space="preserve">omatic gene </w:t>
      </w:r>
      <w:r>
        <w:rPr>
          <w:szCs w:val="20"/>
        </w:rPr>
        <w:t>panel testing would be required in addition to tissue pathology and/or haematological investigations but without further health care resources for obtaining the tumour tissue (i.e. on the same specimen).</w:t>
      </w:r>
      <w:r w:rsidRPr="00154B00">
        <w:rPr>
          <w:szCs w:val="20"/>
        </w:rPr>
        <w:t xml:space="preserve"> </w:t>
      </w:r>
    </w:p>
    <w:p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0F1C83"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6A1038">
        <w:rPr>
          <w:szCs w:val="20"/>
        </w:rPr>
        <w:t xml:space="preserve"> Yes (please provide all relevant MBS item numbers below)</w:t>
      </w:r>
    </w:p>
    <w:p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470ED">
        <w:rPr>
          <w:szCs w:val="20"/>
        </w:rPr>
      </w:r>
      <w:r w:rsidR="00C470ED">
        <w:rPr>
          <w:szCs w:val="20"/>
        </w:rPr>
        <w:fldChar w:fldCharType="separate"/>
      </w:r>
      <w:r w:rsidRPr="00753C44">
        <w:rPr>
          <w:szCs w:val="20"/>
        </w:rPr>
        <w:fldChar w:fldCharType="end"/>
      </w:r>
      <w:r>
        <w:rPr>
          <w:szCs w:val="20"/>
        </w:rPr>
        <w:t xml:space="preserve"> No  </w:t>
      </w:r>
    </w:p>
    <w:p w:rsidR="000159B9" w:rsidRPr="00154B00" w:rsidRDefault="001B29A1" w:rsidP="001B29A1">
      <w:pPr>
        <w:ind w:left="426"/>
        <w:rPr>
          <w:szCs w:val="20"/>
        </w:rPr>
      </w:pPr>
      <w:r>
        <w:fldChar w:fldCharType="begin">
          <w:ffData>
            <w:name w:val=""/>
            <w:enabled/>
            <w:calcOnExit w:val="0"/>
            <w:textInput>
              <w:default w:val="Specify item number/s here"/>
            </w:textInput>
          </w:ffData>
        </w:fldChar>
      </w:r>
      <w:r>
        <w:instrText xml:space="preserve"> FORMTEXT </w:instrText>
      </w:r>
      <w:r>
        <w:fldChar w:fldCharType="separate"/>
      </w:r>
      <w:r>
        <w:rPr>
          <w:noProof/>
        </w:rPr>
        <w:t>Specify item number/s here</w:t>
      </w:r>
      <w:r>
        <w:fldChar w:fldCharType="end"/>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0F1C83" w:rsidRDefault="000F1C83" w:rsidP="000F1C83">
      <w:pPr>
        <w:spacing w:before="0" w:after="0"/>
        <w:ind w:left="360"/>
        <w:rPr>
          <w:szCs w:val="20"/>
        </w:rPr>
      </w:pPr>
      <w:r w:rsidRPr="001C7541">
        <w:rPr>
          <w:szCs w:val="20"/>
        </w:rPr>
        <w:t xml:space="preserve">The clinical management pathway after the comparator is the selection of cancer therapy based on </w:t>
      </w:r>
      <w:r>
        <w:rPr>
          <w:szCs w:val="20"/>
        </w:rPr>
        <w:t>current methods.</w:t>
      </w:r>
    </w:p>
    <w:p w:rsidR="000F1C83" w:rsidRPr="001C7541" w:rsidRDefault="000F1C83" w:rsidP="000F1C83">
      <w:pPr>
        <w:spacing w:before="0" w:after="0"/>
        <w:ind w:left="360"/>
        <w:rPr>
          <w:szCs w:val="20"/>
        </w:rPr>
      </w:pPr>
    </w:p>
    <w:p w:rsidR="000F1C83" w:rsidRDefault="000F1C83" w:rsidP="000F1C83">
      <w:pPr>
        <w:spacing w:before="0" w:after="0"/>
        <w:ind w:left="360"/>
        <w:rPr>
          <w:szCs w:val="20"/>
        </w:rPr>
      </w:pPr>
      <w:r w:rsidRPr="001C7541">
        <w:rPr>
          <w:szCs w:val="20"/>
        </w:rPr>
        <w:t>Molecular subtypes</w:t>
      </w:r>
      <w:r>
        <w:rPr>
          <w:szCs w:val="20"/>
        </w:rPr>
        <w:t xml:space="preserve"> are not identified completely for all relevant cancers and s</w:t>
      </w:r>
      <w:r w:rsidRPr="001C7541">
        <w:rPr>
          <w:szCs w:val="20"/>
        </w:rPr>
        <w:t xml:space="preserve">election of therapy is made on incomplete information. Inappropriate treatment may be selection resulting in ineffective therapy or </w:t>
      </w:r>
      <w:r>
        <w:rPr>
          <w:szCs w:val="20"/>
        </w:rPr>
        <w:t xml:space="preserve">patient harm. </w:t>
      </w:r>
      <w:r w:rsidRPr="002336DC">
        <w:rPr>
          <w:szCs w:val="20"/>
        </w:rPr>
        <w:t>For example BRAF testing is not available for colorectal cancers, only melanoma. BRAF positive colorectal cancers may not be best treated with therapies allocated on the basis of RAS mutation status</w:t>
      </w:r>
      <w:r>
        <w:rPr>
          <w:szCs w:val="20"/>
        </w:rPr>
        <w:t xml:space="preserve"> alone</w:t>
      </w:r>
      <w:r w:rsidRPr="002336DC">
        <w:rPr>
          <w:szCs w:val="20"/>
        </w:rPr>
        <w:t xml:space="preserve"> and therefore results may influence the choice and timing of treatment</w:t>
      </w:r>
      <w:r>
        <w:rPr>
          <w:szCs w:val="20"/>
        </w:rPr>
        <w:t>.</w:t>
      </w:r>
    </w:p>
    <w:p w:rsidR="000F1C83" w:rsidRDefault="000F1C83" w:rsidP="000F1C83">
      <w:pPr>
        <w:spacing w:before="0" w:after="0"/>
        <w:ind w:left="360"/>
        <w:rPr>
          <w:szCs w:val="20"/>
        </w:rPr>
      </w:pPr>
      <w:r>
        <w:rPr>
          <w:szCs w:val="20"/>
        </w:rPr>
        <w:t xml:space="preserve"> </w:t>
      </w:r>
    </w:p>
    <w:p w:rsidR="000F1C83" w:rsidRDefault="000F1C83" w:rsidP="000F1C83">
      <w:pPr>
        <w:spacing w:before="0" w:after="0"/>
        <w:ind w:left="360"/>
        <w:rPr>
          <w:szCs w:val="20"/>
        </w:rPr>
      </w:pPr>
      <w:r>
        <w:rPr>
          <w:szCs w:val="20"/>
        </w:rPr>
        <w:t>Where testing is available, delays occur before testing is undertaken using the current criteria. A panel test allows for concurrent molecular testing expediting the diagnostic process.</w:t>
      </w:r>
    </w:p>
    <w:p w:rsidR="000F1C83" w:rsidRPr="001C7541" w:rsidRDefault="000F1C83" w:rsidP="000F1C83">
      <w:pPr>
        <w:spacing w:before="0" w:after="0"/>
        <w:ind w:left="360"/>
        <w:rPr>
          <w:szCs w:val="20"/>
        </w:rPr>
      </w:pPr>
    </w:p>
    <w:p w:rsidR="003433D1" w:rsidRDefault="000F1C83" w:rsidP="000F1C83">
      <w:pPr>
        <w:spacing w:before="0" w:after="0"/>
        <w:ind w:left="426"/>
        <w:rPr>
          <w:b/>
          <w:szCs w:val="20"/>
        </w:rPr>
      </w:pPr>
      <w:r w:rsidRPr="001C7541">
        <w:rPr>
          <w:szCs w:val="20"/>
        </w:rPr>
        <w:t>See Appendix A Flowcharts</w:t>
      </w:r>
      <w:r>
        <w:rPr>
          <w:b/>
          <w:szCs w:val="20"/>
        </w:rPr>
        <w:t xml:space="preserve"> </w:t>
      </w:r>
    </w:p>
    <w:p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0F1C8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1B29A1">
        <w:rPr>
          <w:szCs w:val="20"/>
        </w:rPr>
        <w:t xml:space="preserve"> Yes </w:t>
      </w:r>
    </w:p>
    <w:p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470ED">
        <w:rPr>
          <w:szCs w:val="20"/>
        </w:rPr>
      </w:r>
      <w:r w:rsidR="00C470ED">
        <w:rPr>
          <w:szCs w:val="20"/>
        </w:rPr>
        <w:fldChar w:fldCharType="separate"/>
      </w:r>
      <w:r w:rsidRPr="00753C44">
        <w:rPr>
          <w:szCs w:val="20"/>
        </w:rPr>
        <w:fldChar w:fldCharType="end"/>
      </w:r>
      <w:r>
        <w:rPr>
          <w:szCs w:val="20"/>
        </w:rPr>
        <w:t xml:space="preserve"> No  </w:t>
      </w:r>
    </w:p>
    <w:p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0F1C83" w:rsidP="001B29A1">
      <w:pPr>
        <w:ind w:left="426"/>
        <w:rPr>
          <w:szCs w:val="20"/>
        </w:rPr>
      </w:pPr>
      <w:r>
        <w:rPr>
          <w:szCs w:val="20"/>
        </w:rPr>
        <w:t>Somatic tumour gene panel testing would replace the current service/comparator.</w:t>
      </w:r>
      <w:r w:rsidRPr="001B29A1">
        <w:rPr>
          <w:szCs w:val="20"/>
        </w:rPr>
        <w:t xml:space="preserve"> </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54594B" w:rsidRDefault="000F1C83" w:rsidP="00D10B47">
      <w:pPr>
        <w:pStyle w:val="ListParagraph"/>
        <w:ind w:left="360"/>
        <w:rPr>
          <w:b/>
          <w:szCs w:val="20"/>
        </w:rPr>
      </w:pPr>
      <w:r>
        <w:rPr>
          <w:szCs w:val="20"/>
        </w:rPr>
        <w:t>Pathological investigation of tumour tissue, bone marrow and blood will be extended to determine the most suitable therapy for the cancer molecular subtype.</w:t>
      </w:r>
    </w:p>
    <w:p w:rsidR="002053F2" w:rsidRPr="00154B00" w:rsidRDefault="002053F2" w:rsidP="00D10B47">
      <w:pPr>
        <w:pStyle w:val="ListParagraph"/>
        <w:ind w:left="360"/>
        <w:rPr>
          <w:b/>
          <w:szCs w:val="20"/>
        </w:rPr>
      </w:pPr>
    </w:p>
    <w:p w:rsidR="001B29A1" w:rsidRDefault="001B29A1" w:rsidP="00881F93">
      <w:pPr>
        <w:rPr>
          <w:b/>
          <w:i/>
          <w:szCs w:val="20"/>
          <w:u w:val="single"/>
        </w:rPr>
      </w:pPr>
      <w:r>
        <w:rPr>
          <w:b/>
          <w:i/>
          <w:szCs w:val="20"/>
          <w:u w:val="single"/>
        </w:rPr>
        <w:br w:type="page"/>
      </w:r>
    </w:p>
    <w:p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0F1C83" w:rsidRDefault="000F1C83" w:rsidP="000F1C83">
      <w:pPr>
        <w:spacing w:before="100" w:beforeAutospacing="1" w:after="100" w:afterAutospacing="1"/>
        <w:ind w:left="360"/>
        <w:rPr>
          <w:szCs w:val="20"/>
        </w:rPr>
      </w:pPr>
      <w:r w:rsidRPr="00087693">
        <w:rPr>
          <w:szCs w:val="20"/>
        </w:rPr>
        <w:t xml:space="preserve">Tissue pathology (H&amp;E and IHC) and standard haematology testing often require additional molecular </w:t>
      </w:r>
      <w:r>
        <w:rPr>
          <w:szCs w:val="20"/>
        </w:rPr>
        <w:t>testing for the determination of suitability for therapy</w:t>
      </w:r>
      <w:r w:rsidRPr="00087693">
        <w:rPr>
          <w:szCs w:val="20"/>
        </w:rPr>
        <w:t xml:space="preserve">. Currently, there </w:t>
      </w:r>
      <w:r>
        <w:rPr>
          <w:szCs w:val="20"/>
        </w:rPr>
        <w:t>are</w:t>
      </w:r>
      <w:r w:rsidRPr="00087693">
        <w:rPr>
          <w:szCs w:val="20"/>
        </w:rPr>
        <w:t xml:space="preserve"> </w:t>
      </w:r>
      <w:r>
        <w:rPr>
          <w:szCs w:val="20"/>
        </w:rPr>
        <w:t xml:space="preserve">limited </w:t>
      </w:r>
      <w:r w:rsidRPr="00087693">
        <w:rPr>
          <w:szCs w:val="20"/>
        </w:rPr>
        <w:t>MBS</w:t>
      </w:r>
      <w:r>
        <w:rPr>
          <w:szCs w:val="20"/>
        </w:rPr>
        <w:t xml:space="preserve"> items</w:t>
      </w:r>
      <w:r w:rsidRPr="00087693">
        <w:rPr>
          <w:szCs w:val="20"/>
        </w:rPr>
        <w:t xml:space="preserve"> for </w:t>
      </w:r>
      <w:r>
        <w:rPr>
          <w:szCs w:val="20"/>
        </w:rPr>
        <w:t xml:space="preserve">the comparator </w:t>
      </w:r>
      <w:r w:rsidRPr="00087693">
        <w:rPr>
          <w:szCs w:val="20"/>
        </w:rPr>
        <w:t>medical service</w:t>
      </w:r>
      <w:r>
        <w:rPr>
          <w:szCs w:val="20"/>
        </w:rPr>
        <w:t>s.</w:t>
      </w:r>
      <w:r w:rsidRPr="00087693">
        <w:rPr>
          <w:szCs w:val="20"/>
        </w:rPr>
        <w:t xml:space="preserve"> Somatic tumour gene panel testing </w:t>
      </w:r>
      <w:r>
        <w:rPr>
          <w:szCs w:val="20"/>
        </w:rPr>
        <w:t>has been demonstrated</w:t>
      </w:r>
      <w:r w:rsidRPr="00087693">
        <w:rPr>
          <w:szCs w:val="20"/>
        </w:rPr>
        <w:t xml:space="preserve"> locally and internationally as best practice for the </w:t>
      </w:r>
      <w:r>
        <w:rPr>
          <w:szCs w:val="20"/>
        </w:rPr>
        <w:t>allocation of</w:t>
      </w:r>
      <w:r w:rsidRPr="00087693">
        <w:rPr>
          <w:szCs w:val="20"/>
        </w:rPr>
        <w:t xml:space="preserve"> appropriate treatment, indicating disease prognosis and monitoring therapeutic outcomes. </w:t>
      </w:r>
    </w:p>
    <w:p w:rsidR="000F1C83" w:rsidRDefault="000F1C83" w:rsidP="000F1C83">
      <w:pPr>
        <w:spacing w:before="100" w:beforeAutospacing="1" w:after="100" w:afterAutospacing="1"/>
        <w:ind w:left="360"/>
        <w:rPr>
          <w:szCs w:val="20"/>
        </w:rPr>
      </w:pPr>
      <w:r>
        <w:rPr>
          <w:szCs w:val="20"/>
        </w:rPr>
        <w:t>There is increasing clinical and patient demand for multigene testing with patients experiencing large out of pocket costs raising issues of equity of access.</w:t>
      </w:r>
      <w:r w:rsidRPr="00154B00">
        <w:rPr>
          <w:szCs w:val="20"/>
        </w:rPr>
        <w:t xml:space="preserve"> </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0F1C8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470ED">
        <w:rPr>
          <w:szCs w:val="20"/>
        </w:rPr>
      </w:r>
      <w:r w:rsidR="00C470ED">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470ED">
        <w:rPr>
          <w:szCs w:val="20"/>
        </w:rPr>
      </w:r>
      <w:r w:rsidR="00C470ED">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rsidR="000F1C83" w:rsidRPr="000F1C83" w:rsidRDefault="000F1C83" w:rsidP="000F1C83">
      <w:pPr>
        <w:pBdr>
          <w:top w:val="single" w:sz="4" w:space="1" w:color="auto"/>
          <w:left w:val="single" w:sz="4" w:space="4" w:color="auto"/>
          <w:bottom w:val="single" w:sz="4" w:space="1" w:color="auto"/>
          <w:right w:val="single" w:sz="4" w:space="4" w:color="auto"/>
        </w:pBdr>
        <w:rPr>
          <w:szCs w:val="20"/>
        </w:rPr>
      </w:pPr>
      <w:r w:rsidRPr="000F1C83">
        <w:rPr>
          <w:szCs w:val="20"/>
        </w:rPr>
        <w:t>The proposed test involves equivalent safety issues to current tissue pathology and haematology investigations.</w:t>
      </w:r>
    </w:p>
    <w:p w:rsidR="000F1C83" w:rsidRPr="000F1C83" w:rsidRDefault="000F1C83" w:rsidP="000F1C83">
      <w:pPr>
        <w:pBdr>
          <w:top w:val="single" w:sz="4" w:space="1" w:color="auto"/>
          <w:left w:val="single" w:sz="4" w:space="4" w:color="auto"/>
          <w:bottom w:val="single" w:sz="4" w:space="1" w:color="auto"/>
          <w:right w:val="single" w:sz="4" w:space="4" w:color="auto"/>
        </w:pBdr>
        <w:rPr>
          <w:szCs w:val="20"/>
        </w:rPr>
      </w:pPr>
      <w:r w:rsidRPr="000F1C83">
        <w:rPr>
          <w:szCs w:val="20"/>
        </w:rPr>
        <w:t>The proposed service offers superior safety in comparison to non-identification of relevant genomic alterations where patients may receive ineffective treatment, experience delays in treatment or no treatment when treatment is possible.</w:t>
      </w:r>
    </w:p>
    <w:p w:rsidR="000F1C83" w:rsidRPr="000F1C83" w:rsidRDefault="000F1C83" w:rsidP="000F1C83">
      <w:pPr>
        <w:pBdr>
          <w:top w:val="single" w:sz="4" w:space="1" w:color="auto"/>
          <w:left w:val="single" w:sz="4" w:space="4" w:color="auto"/>
          <w:bottom w:val="single" w:sz="4" w:space="1" w:color="auto"/>
          <w:right w:val="single" w:sz="4" w:space="4" w:color="auto"/>
        </w:pBdr>
        <w:rPr>
          <w:szCs w:val="20"/>
        </w:rPr>
      </w:pPr>
      <w:r w:rsidRPr="000F1C83">
        <w:rPr>
          <w:szCs w:val="20"/>
        </w:rPr>
        <w:t>The proposed service offers superior safety when testing is maximised on limited tissue samples and repeat biopsies of patients are avoided.</w:t>
      </w:r>
    </w:p>
    <w:p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rsidR="000F1C83" w:rsidRPr="000F1C83" w:rsidRDefault="000F1C83" w:rsidP="000F1C83">
      <w:pPr>
        <w:pBdr>
          <w:top w:val="single" w:sz="4" w:space="1" w:color="auto"/>
          <w:left w:val="single" w:sz="4" w:space="4" w:color="auto"/>
          <w:bottom w:val="single" w:sz="4" w:space="1" w:color="auto"/>
          <w:right w:val="single" w:sz="4" w:space="4" w:color="auto"/>
        </w:pBdr>
        <w:rPr>
          <w:szCs w:val="20"/>
        </w:rPr>
      </w:pPr>
      <w:r w:rsidRPr="000F1C83">
        <w:rPr>
          <w:szCs w:val="20"/>
        </w:rPr>
        <w:t xml:space="preserve">The proposed service offers superior clinical effectiveness with the availability of more accurate, reliable and clinically valid tests. </w:t>
      </w:r>
    </w:p>
    <w:p w:rsidR="000F1C83" w:rsidRPr="000F1C83" w:rsidRDefault="000F1C83" w:rsidP="000F1C83">
      <w:pPr>
        <w:pBdr>
          <w:top w:val="single" w:sz="4" w:space="1" w:color="auto"/>
          <w:left w:val="single" w:sz="4" w:space="4" w:color="auto"/>
          <w:bottom w:val="single" w:sz="4" w:space="1" w:color="auto"/>
          <w:right w:val="single" w:sz="4" w:space="4" w:color="auto"/>
        </w:pBdr>
        <w:rPr>
          <w:szCs w:val="20"/>
        </w:rPr>
      </w:pPr>
      <w:r w:rsidRPr="000F1C83">
        <w:rPr>
          <w:szCs w:val="20"/>
        </w:rPr>
        <w:t>The proposed service offers superior clinical effectiveness by providing the most appropriate treatment to the most applicable patients through tests proven to improve clinical decisions, integrated with the most current data relevant to the practice of medicine, and recognised as medically necessary to tailor treatment for the unique biology of a disease.</w:t>
      </w:r>
    </w:p>
    <w:p w:rsidR="000F1C83" w:rsidRPr="000F1C83" w:rsidRDefault="000F1C83" w:rsidP="000F1C83">
      <w:pPr>
        <w:pBdr>
          <w:top w:val="single" w:sz="4" w:space="1" w:color="auto"/>
          <w:left w:val="single" w:sz="4" w:space="4" w:color="auto"/>
          <w:bottom w:val="single" w:sz="4" w:space="1" w:color="auto"/>
          <w:right w:val="single" w:sz="4" w:space="4" w:color="auto"/>
        </w:pBdr>
        <w:rPr>
          <w:szCs w:val="20"/>
        </w:rPr>
      </w:pPr>
      <w:r w:rsidRPr="000F1C83">
        <w:rPr>
          <w:szCs w:val="20"/>
        </w:rPr>
        <w:t xml:space="preserve">The proposed service offers superior clinical effectiveness because somatic gene panels can provide improved treatment outcomes compared to current publicly funded pathology tests.  </w:t>
      </w:r>
    </w:p>
    <w:p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tbl>
      <w:tblPr>
        <w:tblStyle w:val="TableGrid4"/>
        <w:tblW w:w="0" w:type="auto"/>
        <w:tblInd w:w="534" w:type="dxa"/>
        <w:tblLook w:val="04A0" w:firstRow="1" w:lastRow="0" w:firstColumn="1" w:lastColumn="0" w:noHBand="0" w:noVBand="1"/>
        <w:tblCaption w:val="Prevalence and/or incidence of the proposed population"/>
        <w:tblDescription w:val="Prevalence and/or incidence of the proposed population"/>
      </w:tblPr>
      <w:tblGrid>
        <w:gridCol w:w="8482"/>
      </w:tblGrid>
      <w:tr w:rsidR="007104D4" w:rsidRPr="007104D4" w:rsidTr="00B10871">
        <w:tc>
          <w:tcPr>
            <w:tcW w:w="8708" w:type="dxa"/>
          </w:tcPr>
          <w:p w:rsidR="007104D4" w:rsidRPr="007104D4" w:rsidRDefault="007104D4" w:rsidP="007104D4">
            <w:pPr>
              <w:spacing w:before="100" w:beforeAutospacing="1" w:after="100" w:afterAutospacing="1"/>
              <w:rPr>
                <w:szCs w:val="20"/>
              </w:rPr>
            </w:pPr>
            <w:r w:rsidRPr="007104D4">
              <w:rPr>
                <w:szCs w:val="20"/>
              </w:rPr>
              <w:t xml:space="preserve">The proposed population are patients diagnosed with melanoma of the skin, lung cancer and colorectal cancer (CRC). Although large numbers of new cases of these cancers are diagnosed each year, only a minority of patients with advanced diseased require testing for genomic alterations to determine eligibility for specific targeted therapies. </w:t>
            </w:r>
          </w:p>
          <w:p w:rsidR="007104D4" w:rsidRPr="007104D4" w:rsidRDefault="007104D4" w:rsidP="007104D4">
            <w:pPr>
              <w:spacing w:before="100" w:beforeAutospacing="1" w:after="100" w:afterAutospacing="1"/>
              <w:rPr>
                <w:szCs w:val="20"/>
              </w:rPr>
            </w:pPr>
            <w:r w:rsidRPr="007104D4">
              <w:rPr>
                <w:szCs w:val="20"/>
              </w:rPr>
              <w:t xml:space="preserve">The subset of cancer patients to be included in the proposed population can be determined from services undertaken in current MBS items: 73336 (unresectable stage III or stage IV metastatic cutaneous melanoma), 73337 (lung cancer with non-squamous or not otherwise specified histology (NSCLC)), 73341 (advanced or metastatic NSCLC) and 73338 (metastatic stage IV CRC) </w:t>
            </w:r>
            <w:r w:rsidRPr="007104D4">
              <w:rPr>
                <w:szCs w:val="20"/>
                <w:vertAlign w:val="superscript"/>
              </w:rPr>
              <w:t>1</w:t>
            </w:r>
            <w:r w:rsidRPr="007104D4">
              <w:rPr>
                <w:szCs w:val="20"/>
              </w:rPr>
              <w:t>.</w:t>
            </w:r>
          </w:p>
          <w:p w:rsidR="007104D4" w:rsidRPr="007104D4" w:rsidRDefault="007104D4" w:rsidP="007104D4">
            <w:pPr>
              <w:spacing w:before="100" w:beforeAutospacing="1" w:after="100" w:afterAutospacing="1"/>
              <w:rPr>
                <w:szCs w:val="20"/>
              </w:rPr>
            </w:pPr>
            <w:r w:rsidRPr="007104D4">
              <w:rPr>
                <w:szCs w:val="20"/>
              </w:rPr>
              <w:t>Medicare statistics indicate that a total of 8,444 services were undertaken for these item numbers from July 2015 to June 2016.</w:t>
            </w:r>
          </w:p>
          <w:p w:rsidR="007104D4" w:rsidRPr="007104D4" w:rsidRDefault="007104D4" w:rsidP="007104D4">
            <w:pPr>
              <w:spacing w:before="100" w:beforeAutospacing="1" w:after="100" w:afterAutospacing="1"/>
              <w:rPr>
                <w:szCs w:val="20"/>
              </w:rPr>
            </w:pPr>
            <w:r w:rsidRPr="007104D4">
              <w:rPr>
                <w:szCs w:val="20"/>
              </w:rPr>
              <w:t>Therefore the proposed population is 8,500.</w:t>
            </w:r>
          </w:p>
          <w:tbl>
            <w:tblPr>
              <w:tblW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dicare statistics "/>
              <w:tblDescription w:val="Medicare statistics "/>
            </w:tblPr>
            <w:tblGrid>
              <w:gridCol w:w="960"/>
              <w:gridCol w:w="1336"/>
            </w:tblGrid>
            <w:tr w:rsidR="007104D4" w:rsidRPr="007104D4" w:rsidTr="00B10871">
              <w:trPr>
                <w:trHeight w:val="288"/>
              </w:trPr>
              <w:tc>
                <w:tcPr>
                  <w:tcW w:w="960" w:type="dxa"/>
                  <w:shd w:val="clear" w:color="auto" w:fill="auto"/>
                  <w:noWrap/>
                  <w:vAlign w:val="bottom"/>
                  <w:hideMark/>
                </w:tcPr>
                <w:p w:rsidR="007104D4" w:rsidRPr="007104D4" w:rsidRDefault="007104D4" w:rsidP="007104D4">
                  <w:pPr>
                    <w:spacing w:before="0" w:after="0"/>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MBS Item</w:t>
                  </w:r>
                </w:p>
              </w:tc>
              <w:tc>
                <w:tcPr>
                  <w:tcW w:w="1336"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Services 2015</w:t>
                  </w:r>
                </w:p>
              </w:tc>
            </w:tr>
            <w:tr w:rsidR="007104D4" w:rsidRPr="007104D4" w:rsidTr="00B10871">
              <w:trPr>
                <w:trHeight w:val="288"/>
              </w:trPr>
              <w:tc>
                <w:tcPr>
                  <w:tcW w:w="960"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73336</w:t>
                  </w:r>
                </w:p>
              </w:tc>
              <w:tc>
                <w:tcPr>
                  <w:tcW w:w="1336"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1966</w:t>
                  </w:r>
                </w:p>
              </w:tc>
            </w:tr>
            <w:tr w:rsidR="007104D4" w:rsidRPr="007104D4" w:rsidTr="00B10871">
              <w:trPr>
                <w:trHeight w:val="288"/>
              </w:trPr>
              <w:tc>
                <w:tcPr>
                  <w:tcW w:w="960"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73337</w:t>
                  </w:r>
                </w:p>
              </w:tc>
              <w:tc>
                <w:tcPr>
                  <w:tcW w:w="1336"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3443</w:t>
                  </w:r>
                </w:p>
              </w:tc>
            </w:tr>
            <w:tr w:rsidR="007104D4" w:rsidRPr="007104D4" w:rsidTr="00B10871">
              <w:trPr>
                <w:trHeight w:val="288"/>
              </w:trPr>
              <w:tc>
                <w:tcPr>
                  <w:tcW w:w="960"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73338</w:t>
                  </w:r>
                </w:p>
              </w:tc>
              <w:tc>
                <w:tcPr>
                  <w:tcW w:w="1336"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2844</w:t>
                  </w:r>
                </w:p>
              </w:tc>
            </w:tr>
            <w:tr w:rsidR="007104D4" w:rsidRPr="007104D4" w:rsidTr="00B10871">
              <w:trPr>
                <w:trHeight w:val="288"/>
              </w:trPr>
              <w:tc>
                <w:tcPr>
                  <w:tcW w:w="960"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73341</w:t>
                  </w:r>
                </w:p>
              </w:tc>
              <w:tc>
                <w:tcPr>
                  <w:tcW w:w="1336"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191</w:t>
                  </w:r>
                </w:p>
              </w:tc>
            </w:tr>
            <w:tr w:rsidR="007104D4" w:rsidRPr="007104D4" w:rsidTr="00B10871">
              <w:trPr>
                <w:trHeight w:val="288"/>
              </w:trPr>
              <w:tc>
                <w:tcPr>
                  <w:tcW w:w="960" w:type="dxa"/>
                  <w:shd w:val="clear" w:color="auto" w:fill="auto"/>
                  <w:noWrap/>
                  <w:vAlign w:val="bottom"/>
                  <w:hideMark/>
                </w:tcPr>
                <w:p w:rsidR="007104D4" w:rsidRPr="007104D4" w:rsidRDefault="007104D4" w:rsidP="007104D4">
                  <w:pPr>
                    <w:spacing w:before="0" w:after="0"/>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Total</w:t>
                  </w:r>
                </w:p>
              </w:tc>
              <w:tc>
                <w:tcPr>
                  <w:tcW w:w="1336"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8"/>
                      <w:szCs w:val="18"/>
                      <w:lang w:eastAsia="en-AU"/>
                    </w:rPr>
                  </w:pPr>
                  <w:r w:rsidRPr="007104D4">
                    <w:rPr>
                      <w:rFonts w:ascii="Calibri" w:eastAsia="Times New Roman" w:hAnsi="Calibri" w:cs="Times New Roman"/>
                      <w:color w:val="000000"/>
                      <w:sz w:val="18"/>
                      <w:szCs w:val="18"/>
                      <w:lang w:eastAsia="en-AU"/>
                    </w:rPr>
                    <w:t>8444</w:t>
                  </w:r>
                </w:p>
              </w:tc>
            </w:tr>
            <w:tr w:rsidR="00C470ED" w:rsidRPr="007104D4" w:rsidTr="00B10871">
              <w:trPr>
                <w:trHeight w:val="288"/>
              </w:trPr>
              <w:tc>
                <w:tcPr>
                  <w:tcW w:w="960" w:type="dxa"/>
                  <w:shd w:val="clear" w:color="auto" w:fill="auto"/>
                  <w:noWrap/>
                  <w:vAlign w:val="bottom"/>
                </w:tcPr>
                <w:p w:rsidR="00C470ED" w:rsidRPr="007104D4" w:rsidRDefault="00C470ED" w:rsidP="007104D4">
                  <w:pPr>
                    <w:spacing w:before="0" w:after="0"/>
                    <w:rPr>
                      <w:rFonts w:ascii="Calibri" w:eastAsia="Times New Roman" w:hAnsi="Calibri" w:cs="Times New Roman"/>
                      <w:color w:val="000000"/>
                      <w:sz w:val="18"/>
                      <w:szCs w:val="18"/>
                      <w:lang w:eastAsia="en-AU"/>
                    </w:rPr>
                  </w:pPr>
                </w:p>
              </w:tc>
              <w:tc>
                <w:tcPr>
                  <w:tcW w:w="1336" w:type="dxa"/>
                  <w:shd w:val="clear" w:color="auto" w:fill="auto"/>
                  <w:noWrap/>
                  <w:vAlign w:val="bottom"/>
                </w:tcPr>
                <w:p w:rsidR="00C470ED" w:rsidRPr="007104D4" w:rsidRDefault="00C470ED" w:rsidP="007104D4">
                  <w:pPr>
                    <w:spacing w:before="0" w:after="0"/>
                    <w:jc w:val="right"/>
                    <w:rPr>
                      <w:rFonts w:ascii="Calibri" w:eastAsia="Times New Roman" w:hAnsi="Calibri" w:cs="Times New Roman"/>
                      <w:color w:val="000000"/>
                      <w:sz w:val="18"/>
                      <w:szCs w:val="18"/>
                      <w:lang w:eastAsia="en-AU"/>
                    </w:rPr>
                  </w:pPr>
                </w:p>
              </w:tc>
            </w:tr>
          </w:tbl>
          <w:p w:rsidR="007104D4" w:rsidRPr="007104D4" w:rsidRDefault="00C470ED" w:rsidP="007104D4">
            <w:pPr>
              <w:numPr>
                <w:ilvl w:val="0"/>
                <w:numId w:val="39"/>
              </w:numPr>
              <w:spacing w:before="0" w:after="0"/>
              <w:contextualSpacing/>
              <w:rPr>
                <w:sz w:val="16"/>
                <w:szCs w:val="16"/>
              </w:rPr>
            </w:pPr>
            <w:hyperlink r:id="rId27" w:history="1">
              <w:r w:rsidR="00D11D37">
                <w:rPr>
                  <w:color w:val="0000FF" w:themeColor="hyperlink"/>
                  <w:sz w:val="16"/>
                  <w:szCs w:val="16"/>
                  <w:u w:val="single"/>
                </w:rPr>
                <w:t>Medicare Statistics</w:t>
              </w:r>
            </w:hyperlink>
            <w:r w:rsidR="007104D4" w:rsidRPr="007104D4">
              <w:rPr>
                <w:sz w:val="16"/>
                <w:szCs w:val="16"/>
              </w:rPr>
              <w:t xml:space="preserve"> </w:t>
            </w:r>
          </w:p>
          <w:p w:rsidR="007104D4" w:rsidRPr="007104D4" w:rsidRDefault="007104D4" w:rsidP="007104D4">
            <w:pPr>
              <w:spacing w:before="0" w:after="0"/>
              <w:rPr>
                <w:szCs w:val="20"/>
              </w:rPr>
            </w:pPr>
          </w:p>
          <w:p w:rsidR="007104D4" w:rsidRPr="007104D4" w:rsidRDefault="007104D4" w:rsidP="007104D4">
            <w:pPr>
              <w:spacing w:before="0" w:after="0"/>
              <w:rPr>
                <w:szCs w:val="20"/>
              </w:rPr>
            </w:pPr>
            <w:r w:rsidRPr="007104D4">
              <w:rPr>
                <w:szCs w:val="20"/>
              </w:rPr>
              <w:t xml:space="preserve">It is likely that the proposed population for this medical service will constitute approx. 20% of new cases of these cancers (15% of cutaneous melanomas, 31% of lung cancer and 16% of bowel cancer cases). </w:t>
            </w:r>
          </w:p>
          <w:p w:rsidR="007104D4" w:rsidRPr="007104D4" w:rsidRDefault="007104D4" w:rsidP="007104D4">
            <w:pPr>
              <w:spacing w:before="0" w:after="0"/>
              <w:rPr>
                <w:sz w:val="16"/>
                <w:szCs w:val="16"/>
              </w:rPr>
            </w:pP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IHW estimates new cases of bowel, lung and melanoma"/>
              <w:tblDescription w:val="AIHW estimates new cases of bowel, lung and melanoma"/>
            </w:tblPr>
            <w:tblGrid>
              <w:gridCol w:w="1021"/>
              <w:gridCol w:w="1134"/>
              <w:gridCol w:w="1275"/>
              <w:gridCol w:w="993"/>
              <w:gridCol w:w="1134"/>
            </w:tblGrid>
            <w:tr w:rsidR="007104D4" w:rsidRPr="007104D4" w:rsidTr="00B10871">
              <w:trPr>
                <w:trHeight w:val="492"/>
              </w:trPr>
              <w:tc>
                <w:tcPr>
                  <w:tcW w:w="1021" w:type="dxa"/>
                  <w:shd w:val="clear" w:color="auto" w:fill="auto"/>
                  <w:noWrap/>
                  <w:vAlign w:val="bottom"/>
                  <w:hideMark/>
                </w:tcPr>
                <w:p w:rsidR="007104D4" w:rsidRPr="007104D4" w:rsidRDefault="007104D4" w:rsidP="007104D4">
                  <w:pPr>
                    <w:spacing w:before="0" w:after="0"/>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Cancer</w:t>
                  </w:r>
                </w:p>
              </w:tc>
              <w:tc>
                <w:tcPr>
                  <w:tcW w:w="1134" w:type="dxa"/>
                  <w:shd w:val="clear" w:color="auto" w:fill="auto"/>
                  <w:vAlign w:val="bottom"/>
                  <w:hideMark/>
                </w:tcPr>
                <w:p w:rsidR="007104D4" w:rsidRPr="007104D4" w:rsidRDefault="007104D4" w:rsidP="007104D4">
                  <w:pPr>
                    <w:spacing w:before="0" w:after="0"/>
                    <w:jc w:val="center"/>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 xml:space="preserve">Est. total new cases 2016 </w:t>
                  </w:r>
                  <w:r w:rsidRPr="007104D4">
                    <w:rPr>
                      <w:rFonts w:ascii="Calibri" w:eastAsia="Times New Roman" w:hAnsi="Calibri" w:cs="Times New Roman"/>
                      <w:color w:val="000000"/>
                      <w:sz w:val="16"/>
                      <w:szCs w:val="16"/>
                      <w:vertAlign w:val="superscript"/>
                      <w:lang w:eastAsia="en-AU"/>
                    </w:rPr>
                    <w:t>2</w:t>
                  </w:r>
                </w:p>
              </w:tc>
              <w:tc>
                <w:tcPr>
                  <w:tcW w:w="1275" w:type="dxa"/>
                  <w:vAlign w:val="bottom"/>
                </w:tcPr>
                <w:p w:rsidR="007104D4" w:rsidRPr="007104D4" w:rsidRDefault="007104D4" w:rsidP="007104D4">
                  <w:pPr>
                    <w:spacing w:before="0" w:after="0"/>
                    <w:jc w:val="center"/>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Applicable MBS items</w:t>
                  </w:r>
                </w:p>
              </w:tc>
              <w:tc>
                <w:tcPr>
                  <w:tcW w:w="993" w:type="dxa"/>
                  <w:shd w:val="clear" w:color="auto" w:fill="auto"/>
                  <w:vAlign w:val="bottom"/>
                  <w:hideMark/>
                </w:tcPr>
                <w:p w:rsidR="007104D4" w:rsidRPr="007104D4" w:rsidRDefault="007104D4" w:rsidP="007104D4">
                  <w:pPr>
                    <w:spacing w:before="0" w:after="0"/>
                    <w:jc w:val="center"/>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MBS item services 2016</w:t>
                  </w:r>
                </w:p>
              </w:tc>
              <w:tc>
                <w:tcPr>
                  <w:tcW w:w="1134" w:type="dxa"/>
                  <w:shd w:val="clear" w:color="auto" w:fill="auto"/>
                  <w:vAlign w:val="bottom"/>
                  <w:hideMark/>
                </w:tcPr>
                <w:p w:rsidR="007104D4" w:rsidRPr="007104D4" w:rsidRDefault="007104D4" w:rsidP="007104D4">
                  <w:pPr>
                    <w:spacing w:before="0" w:after="0"/>
                    <w:jc w:val="center"/>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Est. % new cases tested</w:t>
                  </w:r>
                </w:p>
              </w:tc>
            </w:tr>
            <w:tr w:rsidR="007104D4" w:rsidRPr="007104D4" w:rsidTr="00B10871">
              <w:trPr>
                <w:trHeight w:val="288"/>
              </w:trPr>
              <w:tc>
                <w:tcPr>
                  <w:tcW w:w="1021" w:type="dxa"/>
                  <w:shd w:val="clear" w:color="auto" w:fill="auto"/>
                  <w:noWrap/>
                  <w:vAlign w:val="bottom"/>
                  <w:hideMark/>
                </w:tcPr>
                <w:p w:rsidR="007104D4" w:rsidRPr="007104D4" w:rsidRDefault="007104D4" w:rsidP="007104D4">
                  <w:pPr>
                    <w:spacing w:before="0" w:after="0"/>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Melanoma</w:t>
                  </w:r>
                </w:p>
              </w:tc>
              <w:tc>
                <w:tcPr>
                  <w:tcW w:w="1134"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13282</w:t>
                  </w:r>
                </w:p>
              </w:tc>
              <w:tc>
                <w:tcPr>
                  <w:tcW w:w="1275" w:type="dxa"/>
                  <w:vAlign w:val="bottom"/>
                </w:tcPr>
                <w:p w:rsidR="007104D4" w:rsidRPr="007104D4" w:rsidRDefault="007104D4" w:rsidP="007104D4">
                  <w:pPr>
                    <w:spacing w:before="0" w:after="0"/>
                    <w:ind w:left="33"/>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73336</w:t>
                  </w:r>
                </w:p>
              </w:tc>
              <w:tc>
                <w:tcPr>
                  <w:tcW w:w="993"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2025</w:t>
                  </w:r>
                </w:p>
              </w:tc>
              <w:tc>
                <w:tcPr>
                  <w:tcW w:w="1134"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15%</w:t>
                  </w:r>
                </w:p>
              </w:tc>
            </w:tr>
            <w:tr w:rsidR="007104D4" w:rsidRPr="007104D4" w:rsidTr="00B10871">
              <w:trPr>
                <w:trHeight w:val="288"/>
              </w:trPr>
              <w:tc>
                <w:tcPr>
                  <w:tcW w:w="1021" w:type="dxa"/>
                  <w:shd w:val="clear" w:color="auto" w:fill="auto"/>
                  <w:noWrap/>
                  <w:vAlign w:val="bottom"/>
                  <w:hideMark/>
                </w:tcPr>
                <w:p w:rsidR="007104D4" w:rsidRPr="007104D4" w:rsidRDefault="007104D4" w:rsidP="007104D4">
                  <w:pPr>
                    <w:spacing w:before="0" w:after="0"/>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Lung</w:t>
                  </w:r>
                </w:p>
              </w:tc>
              <w:tc>
                <w:tcPr>
                  <w:tcW w:w="1134"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12203</w:t>
                  </w:r>
                </w:p>
              </w:tc>
              <w:tc>
                <w:tcPr>
                  <w:tcW w:w="1275" w:type="dxa"/>
                  <w:vAlign w:val="bottom"/>
                </w:tcPr>
                <w:p w:rsidR="007104D4" w:rsidRPr="007104D4" w:rsidRDefault="007104D4" w:rsidP="007104D4">
                  <w:pPr>
                    <w:spacing w:before="0" w:after="0"/>
                    <w:ind w:left="33"/>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73337 &amp; 73341</w:t>
                  </w:r>
                </w:p>
              </w:tc>
              <w:tc>
                <w:tcPr>
                  <w:tcW w:w="993"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3743</w:t>
                  </w:r>
                </w:p>
              </w:tc>
              <w:tc>
                <w:tcPr>
                  <w:tcW w:w="1134"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31%</w:t>
                  </w:r>
                </w:p>
              </w:tc>
            </w:tr>
            <w:tr w:rsidR="007104D4" w:rsidRPr="007104D4" w:rsidTr="00B10871">
              <w:trPr>
                <w:trHeight w:val="288"/>
              </w:trPr>
              <w:tc>
                <w:tcPr>
                  <w:tcW w:w="1021" w:type="dxa"/>
                  <w:shd w:val="clear" w:color="auto" w:fill="auto"/>
                  <w:noWrap/>
                  <w:vAlign w:val="bottom"/>
                  <w:hideMark/>
                </w:tcPr>
                <w:p w:rsidR="007104D4" w:rsidRPr="007104D4" w:rsidRDefault="007104D4" w:rsidP="007104D4">
                  <w:pPr>
                    <w:spacing w:before="0" w:after="0"/>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Bowel</w:t>
                  </w:r>
                </w:p>
              </w:tc>
              <w:tc>
                <w:tcPr>
                  <w:tcW w:w="1134"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17250</w:t>
                  </w:r>
                </w:p>
              </w:tc>
              <w:tc>
                <w:tcPr>
                  <w:tcW w:w="1275" w:type="dxa"/>
                  <w:vAlign w:val="bottom"/>
                </w:tcPr>
                <w:p w:rsidR="007104D4" w:rsidRPr="007104D4" w:rsidRDefault="007104D4" w:rsidP="007104D4">
                  <w:pPr>
                    <w:spacing w:before="0" w:after="0"/>
                    <w:ind w:left="33"/>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73338</w:t>
                  </w:r>
                </w:p>
              </w:tc>
              <w:tc>
                <w:tcPr>
                  <w:tcW w:w="993"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2844</w:t>
                  </w:r>
                </w:p>
              </w:tc>
              <w:tc>
                <w:tcPr>
                  <w:tcW w:w="1134"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color w:val="000000"/>
                      <w:sz w:val="16"/>
                      <w:szCs w:val="16"/>
                      <w:lang w:eastAsia="en-AU"/>
                    </w:rPr>
                  </w:pPr>
                  <w:r w:rsidRPr="007104D4">
                    <w:rPr>
                      <w:rFonts w:ascii="Calibri" w:eastAsia="Times New Roman" w:hAnsi="Calibri" w:cs="Times New Roman"/>
                      <w:color w:val="000000"/>
                      <w:sz w:val="16"/>
                      <w:szCs w:val="16"/>
                      <w:lang w:eastAsia="en-AU"/>
                    </w:rPr>
                    <w:t>16%</w:t>
                  </w:r>
                </w:p>
              </w:tc>
            </w:tr>
            <w:tr w:rsidR="007104D4" w:rsidRPr="007104D4" w:rsidTr="00B10871">
              <w:trPr>
                <w:trHeight w:val="288"/>
              </w:trPr>
              <w:tc>
                <w:tcPr>
                  <w:tcW w:w="1021"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b/>
                      <w:bCs/>
                      <w:color w:val="000000"/>
                      <w:sz w:val="16"/>
                      <w:szCs w:val="16"/>
                      <w:lang w:eastAsia="en-AU"/>
                    </w:rPr>
                  </w:pPr>
                </w:p>
              </w:tc>
              <w:tc>
                <w:tcPr>
                  <w:tcW w:w="1134"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b/>
                      <w:bCs/>
                      <w:color w:val="000000"/>
                      <w:sz w:val="16"/>
                      <w:szCs w:val="16"/>
                      <w:lang w:eastAsia="en-AU"/>
                    </w:rPr>
                  </w:pPr>
                  <w:r w:rsidRPr="007104D4">
                    <w:rPr>
                      <w:rFonts w:ascii="Calibri" w:eastAsia="Times New Roman" w:hAnsi="Calibri" w:cs="Times New Roman"/>
                      <w:b/>
                      <w:bCs/>
                      <w:color w:val="000000"/>
                      <w:sz w:val="16"/>
                      <w:szCs w:val="16"/>
                      <w:lang w:eastAsia="en-AU"/>
                    </w:rPr>
                    <w:t>42735</w:t>
                  </w:r>
                </w:p>
              </w:tc>
              <w:tc>
                <w:tcPr>
                  <w:tcW w:w="1275" w:type="dxa"/>
                  <w:vAlign w:val="bottom"/>
                </w:tcPr>
                <w:p w:rsidR="007104D4" w:rsidRPr="007104D4" w:rsidRDefault="007104D4" w:rsidP="007104D4">
                  <w:pPr>
                    <w:spacing w:before="0" w:after="0"/>
                    <w:jc w:val="right"/>
                    <w:rPr>
                      <w:rFonts w:ascii="Calibri" w:eastAsia="Times New Roman" w:hAnsi="Calibri" w:cs="Times New Roman"/>
                      <w:b/>
                      <w:bCs/>
                      <w:color w:val="000000"/>
                      <w:sz w:val="16"/>
                      <w:szCs w:val="16"/>
                      <w:lang w:eastAsia="en-AU"/>
                    </w:rPr>
                  </w:pPr>
                </w:p>
              </w:tc>
              <w:tc>
                <w:tcPr>
                  <w:tcW w:w="993"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b/>
                      <w:bCs/>
                      <w:color w:val="000000"/>
                      <w:sz w:val="16"/>
                      <w:szCs w:val="16"/>
                      <w:lang w:eastAsia="en-AU"/>
                    </w:rPr>
                  </w:pPr>
                  <w:r w:rsidRPr="007104D4">
                    <w:rPr>
                      <w:rFonts w:ascii="Calibri" w:eastAsia="Times New Roman" w:hAnsi="Calibri" w:cs="Times New Roman"/>
                      <w:b/>
                      <w:bCs/>
                      <w:color w:val="000000"/>
                      <w:sz w:val="16"/>
                      <w:szCs w:val="16"/>
                      <w:lang w:eastAsia="en-AU"/>
                    </w:rPr>
                    <w:t>8612</w:t>
                  </w:r>
                </w:p>
              </w:tc>
              <w:tc>
                <w:tcPr>
                  <w:tcW w:w="1134" w:type="dxa"/>
                  <w:shd w:val="clear" w:color="auto" w:fill="auto"/>
                  <w:noWrap/>
                  <w:vAlign w:val="bottom"/>
                  <w:hideMark/>
                </w:tcPr>
                <w:p w:rsidR="007104D4" w:rsidRPr="007104D4" w:rsidRDefault="007104D4" w:rsidP="007104D4">
                  <w:pPr>
                    <w:spacing w:before="0" w:after="0"/>
                    <w:jc w:val="right"/>
                    <w:rPr>
                      <w:rFonts w:ascii="Calibri" w:eastAsia="Times New Roman" w:hAnsi="Calibri" w:cs="Times New Roman"/>
                      <w:b/>
                      <w:bCs/>
                      <w:color w:val="000000"/>
                      <w:sz w:val="16"/>
                      <w:szCs w:val="16"/>
                      <w:lang w:eastAsia="en-AU"/>
                    </w:rPr>
                  </w:pPr>
                  <w:r w:rsidRPr="007104D4">
                    <w:rPr>
                      <w:rFonts w:ascii="Calibri" w:eastAsia="Times New Roman" w:hAnsi="Calibri" w:cs="Times New Roman"/>
                      <w:b/>
                      <w:bCs/>
                      <w:color w:val="000000"/>
                      <w:sz w:val="16"/>
                      <w:szCs w:val="16"/>
                      <w:lang w:eastAsia="en-AU"/>
                    </w:rPr>
                    <w:t>20%</w:t>
                  </w:r>
                </w:p>
              </w:tc>
            </w:tr>
          </w:tbl>
          <w:p w:rsidR="007104D4" w:rsidRPr="007104D4" w:rsidRDefault="007104D4" w:rsidP="007104D4">
            <w:pPr>
              <w:numPr>
                <w:ilvl w:val="0"/>
                <w:numId w:val="39"/>
              </w:numPr>
              <w:spacing w:before="0" w:after="0"/>
              <w:contextualSpacing/>
              <w:rPr>
                <w:sz w:val="16"/>
                <w:szCs w:val="16"/>
              </w:rPr>
            </w:pPr>
            <w:r w:rsidRPr="007104D4">
              <w:rPr>
                <w:sz w:val="16"/>
                <w:szCs w:val="16"/>
              </w:rPr>
              <w:t xml:space="preserve">AIHW estimates new cases of bowel, lung and melanoma: </w:t>
            </w:r>
            <w:hyperlink r:id="rId28" w:history="1">
              <w:r w:rsidR="00D11D37">
                <w:rPr>
                  <w:color w:val="0000FF" w:themeColor="hyperlink"/>
                  <w:sz w:val="16"/>
                  <w:szCs w:val="16"/>
                  <w:u w:val="single"/>
                </w:rPr>
                <w:t>Bowel cancer statistics</w:t>
              </w:r>
            </w:hyperlink>
            <w:r w:rsidRPr="007104D4">
              <w:rPr>
                <w:sz w:val="16"/>
                <w:szCs w:val="16"/>
              </w:rPr>
              <w:t xml:space="preserve">, </w:t>
            </w:r>
          </w:p>
          <w:p w:rsidR="007104D4" w:rsidRPr="007104D4" w:rsidRDefault="00C470ED" w:rsidP="007104D4">
            <w:pPr>
              <w:tabs>
                <w:tab w:val="left" w:pos="1353"/>
                <w:tab w:val="left" w:pos="2313"/>
                <w:tab w:val="left" w:pos="3273"/>
              </w:tabs>
              <w:spacing w:before="0" w:after="0"/>
              <w:ind w:left="113"/>
              <w:rPr>
                <w:rFonts w:ascii="Calibri" w:eastAsia="Times New Roman" w:hAnsi="Calibri" w:cs="Times New Roman"/>
                <w:b/>
                <w:bCs/>
                <w:color w:val="000000"/>
                <w:sz w:val="16"/>
                <w:szCs w:val="16"/>
                <w:lang w:eastAsia="en-AU"/>
              </w:rPr>
            </w:pPr>
            <w:hyperlink r:id="rId29" w:history="1">
              <w:r w:rsidR="00D11D37">
                <w:rPr>
                  <w:color w:val="0000FF" w:themeColor="hyperlink"/>
                  <w:sz w:val="16"/>
                  <w:szCs w:val="16"/>
                  <w:u w:val="single"/>
                </w:rPr>
                <w:t>Lung cancer statistics</w:t>
              </w:r>
            </w:hyperlink>
            <w:r w:rsidR="007104D4" w:rsidRPr="007104D4">
              <w:rPr>
                <w:sz w:val="16"/>
                <w:szCs w:val="16"/>
              </w:rPr>
              <w:t xml:space="preserve">, </w:t>
            </w:r>
            <w:hyperlink r:id="rId30" w:history="1">
              <w:r w:rsidR="00D11D37">
                <w:rPr>
                  <w:color w:val="0000FF" w:themeColor="hyperlink"/>
                  <w:sz w:val="16"/>
                  <w:szCs w:val="16"/>
                  <w:u w:val="single"/>
                </w:rPr>
                <w:t>Melanoma of the skin statistics</w:t>
              </w:r>
            </w:hyperlink>
            <w:r w:rsidR="00A84AA4">
              <w:rPr>
                <w:rFonts w:ascii="Calibri" w:eastAsia="Times New Roman" w:hAnsi="Calibri" w:cs="Times New Roman"/>
                <w:b/>
                <w:bCs/>
                <w:color w:val="000000"/>
                <w:sz w:val="16"/>
                <w:szCs w:val="16"/>
                <w:lang w:eastAsia="en-AU"/>
              </w:rPr>
              <w:tab/>
            </w:r>
          </w:p>
          <w:p w:rsidR="007104D4" w:rsidRPr="007104D4" w:rsidRDefault="007104D4" w:rsidP="007104D4">
            <w:pPr>
              <w:spacing w:before="100" w:beforeAutospacing="1" w:after="100" w:afterAutospacing="1"/>
              <w:rPr>
                <w:szCs w:val="20"/>
              </w:rPr>
            </w:pPr>
          </w:p>
        </w:tc>
      </w:tr>
    </w:tbl>
    <w:p w:rsidR="007104D4" w:rsidRPr="007104D4" w:rsidRDefault="007104D4" w:rsidP="007104D4"/>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7104D4" w:rsidRPr="00087693" w:rsidRDefault="007104D4" w:rsidP="007104D4">
      <w:pPr>
        <w:spacing w:before="0" w:after="0"/>
        <w:ind w:left="360"/>
        <w:rPr>
          <w:szCs w:val="20"/>
        </w:rPr>
      </w:pPr>
      <w:r>
        <w:rPr>
          <w:szCs w:val="20"/>
        </w:rPr>
        <w:t>Once at the time of diagnosis to determine treatment. Occasional follow up testing may be required to identify resistance to therapy.</w:t>
      </w:r>
    </w:p>
    <w:p w:rsidR="00382407" w:rsidRPr="00154B00" w:rsidRDefault="007104D4" w:rsidP="007104D4">
      <w:pPr>
        <w:spacing w:before="0" w:after="0"/>
        <w:ind w:firstLine="360"/>
        <w:rPr>
          <w:szCs w:val="20"/>
        </w:rPr>
      </w:pPr>
      <w:r>
        <w:rPr>
          <w:i/>
          <w:szCs w:val="20"/>
        </w:rPr>
        <w:t>O</w:t>
      </w:r>
      <w:r w:rsidRPr="00DE6D98">
        <w:rPr>
          <w:i/>
          <w:szCs w:val="20"/>
        </w:rPr>
        <w:t>nce per year</w:t>
      </w:r>
      <w:r>
        <w:rPr>
          <w:i/>
          <w:szCs w:val="20"/>
        </w:rPr>
        <w:t xml:space="preserve"> is a reasonable average estimate</w:t>
      </w:r>
      <w:r w:rsidRPr="00DE6D98">
        <w:rPr>
          <w:i/>
          <w:szCs w:val="20"/>
        </w:rPr>
        <w:t>.</w:t>
      </w:r>
      <w:r w:rsidRPr="00154B00">
        <w:rPr>
          <w:szCs w:val="20"/>
        </w:rPr>
        <w:t xml:space="preserve"> </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7104D4" w:rsidRDefault="007104D4" w:rsidP="007104D4">
      <w:pPr>
        <w:spacing w:before="0" w:after="0"/>
        <w:ind w:firstLine="360"/>
        <w:rPr>
          <w:szCs w:val="20"/>
        </w:rPr>
      </w:pPr>
      <w:r>
        <w:rPr>
          <w:szCs w:val="20"/>
        </w:rPr>
        <w:lastRenderedPageBreak/>
        <w:t>Five</w:t>
      </w:r>
    </w:p>
    <w:p w:rsidR="007104D4" w:rsidRDefault="007104D4" w:rsidP="007104D4">
      <w:pPr>
        <w:spacing w:before="0" w:after="0"/>
        <w:ind w:left="360"/>
        <w:rPr>
          <w:i/>
          <w:szCs w:val="20"/>
        </w:rPr>
      </w:pPr>
      <w:r w:rsidRPr="001C3363">
        <w:rPr>
          <w:i/>
          <w:szCs w:val="20"/>
        </w:rPr>
        <w:t xml:space="preserve">Note: </w:t>
      </w:r>
      <w:r>
        <w:rPr>
          <w:i/>
          <w:szCs w:val="20"/>
        </w:rPr>
        <w:t>patients with these cancers are unlikely to require follow up investigations beyond</w:t>
      </w:r>
      <w:r w:rsidRPr="001C3363">
        <w:rPr>
          <w:i/>
          <w:szCs w:val="20"/>
        </w:rPr>
        <w:t xml:space="preserve"> five years</w:t>
      </w:r>
      <w:r>
        <w:rPr>
          <w:i/>
          <w:szCs w:val="20"/>
        </w:rPr>
        <w:t>. T</w:t>
      </w:r>
      <w:r w:rsidRPr="001C3363">
        <w:rPr>
          <w:i/>
          <w:szCs w:val="20"/>
        </w:rPr>
        <w:t>herefore, five years is a reasonable maximum estimate.</w:t>
      </w:r>
    </w:p>
    <w:p w:rsidR="00382407" w:rsidRPr="00154B00" w:rsidRDefault="00382407" w:rsidP="007104D4">
      <w:pPr>
        <w:spacing w:before="0" w:after="0"/>
        <w:ind w:left="426"/>
        <w:rPr>
          <w:b/>
          <w:szCs w:val="20"/>
        </w:rPr>
      </w:pPr>
    </w:p>
    <w:p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Pr="00154B00" w:rsidRDefault="007104D4" w:rsidP="00AE1188">
      <w:pPr>
        <w:ind w:left="426"/>
        <w:rPr>
          <w:szCs w:val="20"/>
        </w:rPr>
      </w:pPr>
      <w:r>
        <w:fldChar w:fldCharType="begin">
          <w:ffData>
            <w:name w:val=""/>
            <w:enabled/>
            <w:calcOnExit w:val="0"/>
            <w:textInput>
              <w:default w:val="8,500"/>
            </w:textInput>
          </w:ffData>
        </w:fldChar>
      </w:r>
      <w:r>
        <w:instrText xml:space="preserve"> FORMTEXT </w:instrText>
      </w:r>
      <w:r>
        <w:fldChar w:fldCharType="separate"/>
      </w:r>
      <w:r>
        <w:rPr>
          <w:noProof/>
        </w:rPr>
        <w:t>8,500</w:t>
      </w:r>
      <w:r>
        <w:fldChar w:fldCharType="end"/>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7104D4" w:rsidRDefault="007104D4" w:rsidP="007104D4">
      <w:pPr>
        <w:spacing w:before="0" w:after="0"/>
        <w:ind w:left="360"/>
        <w:rPr>
          <w:szCs w:val="20"/>
        </w:rPr>
      </w:pPr>
      <w:r>
        <w:rPr>
          <w:szCs w:val="20"/>
        </w:rPr>
        <w:t xml:space="preserve">Uptake of the proposed medical service is estimated to increase on average at 3% per year (AIHW) indicating that the likely population in three years’ time would be approx. 9,300 patients. </w:t>
      </w:r>
    </w:p>
    <w:p w:rsidR="007104D4" w:rsidRDefault="007104D4" w:rsidP="007104D4">
      <w:pPr>
        <w:spacing w:before="0" w:after="0"/>
        <w:rPr>
          <w:szCs w:val="20"/>
        </w:rPr>
      </w:pPr>
    </w:p>
    <w:p w:rsidR="007104D4" w:rsidRDefault="007104D4" w:rsidP="007104D4">
      <w:pPr>
        <w:spacing w:before="0" w:after="0"/>
        <w:ind w:left="360"/>
        <w:rPr>
          <w:szCs w:val="20"/>
        </w:rPr>
      </w:pPr>
      <w:r>
        <w:rPr>
          <w:szCs w:val="20"/>
        </w:rPr>
        <w:t>Leakage to populations not targeted by the service will be constrained by the MBS item number descriptors to ensure testing is applied only where clinically indicated. It is important to recognise that knowledge in this field is advancing rapidly with new diagnostic genetic aberrations increasingly reported. It is difficult to predict numbers of additional patients who may benefit from future advances in knowledge of actionable molecular aberrations in cancers with applicable targeted therapies. It may be beneficial to amend the new item number to include new testing and therapies as they become available in the future.</w:t>
      </w:r>
    </w:p>
    <w:p w:rsidR="007104D4" w:rsidRDefault="007104D4" w:rsidP="007104D4">
      <w:pPr>
        <w:spacing w:before="0" w:after="0"/>
        <w:rPr>
          <w:szCs w:val="20"/>
        </w:rPr>
      </w:pPr>
    </w:p>
    <w:p w:rsidR="007104D4" w:rsidRPr="0012493B" w:rsidRDefault="007104D4" w:rsidP="007104D4">
      <w:pPr>
        <w:spacing w:before="0" w:after="0"/>
        <w:ind w:firstLine="360"/>
        <w:rPr>
          <w:sz w:val="16"/>
          <w:szCs w:val="16"/>
        </w:rPr>
      </w:pPr>
      <w:r w:rsidRPr="0012493B">
        <w:rPr>
          <w:sz w:val="16"/>
          <w:szCs w:val="16"/>
        </w:rPr>
        <w:t xml:space="preserve">AIHW estimates new cases of bowel, lung and melanoma: </w:t>
      </w:r>
      <w:hyperlink r:id="rId31" w:history="1">
        <w:r w:rsidR="00D11D37">
          <w:rPr>
            <w:rStyle w:val="Hyperlink"/>
            <w:sz w:val="16"/>
            <w:szCs w:val="16"/>
          </w:rPr>
          <w:t>Bowel cancer statistics</w:t>
        </w:r>
      </w:hyperlink>
      <w:r w:rsidRPr="0012493B">
        <w:rPr>
          <w:sz w:val="16"/>
          <w:szCs w:val="16"/>
        </w:rPr>
        <w:t xml:space="preserve">, </w:t>
      </w:r>
    </w:p>
    <w:p w:rsidR="003433D1" w:rsidRDefault="00C470ED" w:rsidP="007104D4">
      <w:pPr>
        <w:spacing w:before="0" w:after="0"/>
        <w:ind w:left="360"/>
        <w:rPr>
          <w:b/>
          <w:sz w:val="32"/>
          <w:szCs w:val="32"/>
        </w:rPr>
      </w:pPr>
      <w:hyperlink r:id="rId32" w:history="1">
        <w:r w:rsidR="00D11D37">
          <w:rPr>
            <w:rStyle w:val="Hyperlink"/>
            <w:sz w:val="16"/>
            <w:szCs w:val="16"/>
          </w:rPr>
          <w:t>Lung cancer statistics</w:t>
        </w:r>
      </w:hyperlink>
      <w:r w:rsidR="007104D4">
        <w:rPr>
          <w:sz w:val="16"/>
          <w:szCs w:val="16"/>
        </w:rPr>
        <w:t xml:space="preserve">, </w:t>
      </w:r>
      <w:hyperlink r:id="rId33" w:history="1">
        <w:r w:rsidR="00D11D37">
          <w:rPr>
            <w:rStyle w:val="Hyperlink"/>
            <w:sz w:val="16"/>
            <w:szCs w:val="16"/>
          </w:rPr>
          <w:t>Melanoma of the skin statistics</w:t>
        </w:r>
      </w:hyperlink>
      <w:r w:rsidR="003433D1">
        <w:rPr>
          <w:b/>
          <w:sz w:val="32"/>
          <w:szCs w:val="32"/>
        </w:rPr>
        <w:br w:type="page"/>
      </w:r>
    </w:p>
    <w:p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tbl>
      <w:tblPr>
        <w:tblStyle w:val="TableGrid5"/>
        <w:tblW w:w="0" w:type="auto"/>
        <w:tblInd w:w="421" w:type="dxa"/>
        <w:tblLook w:val="04A0" w:firstRow="1" w:lastRow="0" w:firstColumn="1" w:lastColumn="0" w:noHBand="0" w:noVBand="1"/>
        <w:tblCaption w:val="Likely cost of providing the proposed medical service"/>
        <w:tblDescription w:val="Likely cost of providing the proposed medical service"/>
      </w:tblPr>
      <w:tblGrid>
        <w:gridCol w:w="6837"/>
        <w:gridCol w:w="1224"/>
      </w:tblGrid>
      <w:tr w:rsidR="007104D4" w:rsidRPr="007104D4" w:rsidTr="007104D4">
        <w:tc>
          <w:tcPr>
            <w:tcW w:w="6837" w:type="dxa"/>
            <w:tcBorders>
              <w:top w:val="single" w:sz="4" w:space="0" w:color="auto"/>
              <w:left w:val="single" w:sz="4" w:space="0" w:color="auto"/>
              <w:bottom w:val="single" w:sz="4" w:space="0" w:color="auto"/>
              <w:right w:val="single" w:sz="4" w:space="0" w:color="auto"/>
            </w:tcBorders>
          </w:tcPr>
          <w:p w:rsidR="007104D4" w:rsidRPr="007104D4" w:rsidRDefault="007104D4" w:rsidP="007104D4">
            <w:pPr>
              <w:spacing w:before="0" w:after="0"/>
              <w:rPr>
                <w:b/>
                <w:sz w:val="22"/>
              </w:rPr>
            </w:pPr>
            <w:r w:rsidRPr="007104D4">
              <w:rPr>
                <w:b/>
                <w:sz w:val="22"/>
              </w:rPr>
              <w:t>Equipment and resources</w:t>
            </w:r>
          </w:p>
        </w:tc>
        <w:tc>
          <w:tcPr>
            <w:tcW w:w="1224" w:type="dxa"/>
            <w:tcBorders>
              <w:top w:val="single" w:sz="4" w:space="0" w:color="auto"/>
              <w:left w:val="single" w:sz="4" w:space="0" w:color="auto"/>
              <w:bottom w:val="single" w:sz="4" w:space="0" w:color="auto"/>
              <w:right w:val="single" w:sz="4" w:space="0" w:color="auto"/>
            </w:tcBorders>
          </w:tcPr>
          <w:p w:rsidR="007104D4" w:rsidRPr="007104D4" w:rsidRDefault="007104D4" w:rsidP="007104D4">
            <w:pPr>
              <w:spacing w:before="0" w:after="0"/>
              <w:jc w:val="center"/>
              <w:rPr>
                <w:b/>
                <w:sz w:val="22"/>
              </w:rPr>
            </w:pPr>
            <w:r w:rsidRPr="007104D4">
              <w:rPr>
                <w:b/>
                <w:sz w:val="22"/>
              </w:rPr>
              <w:t>Per case</w:t>
            </w:r>
          </w:p>
        </w:tc>
      </w:tr>
      <w:tr w:rsidR="007104D4" w:rsidRPr="007104D4" w:rsidTr="007104D4">
        <w:tc>
          <w:tcPr>
            <w:tcW w:w="6837" w:type="dxa"/>
            <w:tcBorders>
              <w:top w:val="single" w:sz="4" w:space="0" w:color="auto"/>
              <w:left w:val="single" w:sz="4" w:space="0" w:color="auto"/>
              <w:bottom w:val="single" w:sz="4" w:space="0" w:color="auto"/>
              <w:right w:val="single" w:sz="4" w:space="0" w:color="auto"/>
            </w:tcBorders>
          </w:tcPr>
          <w:p w:rsidR="007104D4" w:rsidRPr="007104D4" w:rsidRDefault="007104D4" w:rsidP="007104D4">
            <w:pPr>
              <w:spacing w:before="0" w:after="0"/>
              <w:rPr>
                <w:szCs w:val="20"/>
              </w:rPr>
            </w:pPr>
            <w:r w:rsidRPr="007104D4">
              <w:rPr>
                <w:szCs w:val="20"/>
              </w:rPr>
              <w:t>Multiple genes (ISH, PCR, small NGS panel):</w:t>
            </w:r>
          </w:p>
          <w:p w:rsidR="007104D4" w:rsidRPr="007104D4" w:rsidRDefault="007104D4" w:rsidP="007104D4">
            <w:pPr>
              <w:spacing w:before="0" w:after="0"/>
              <w:rPr>
                <w:szCs w:val="20"/>
              </w:rPr>
            </w:pPr>
            <w:r w:rsidRPr="007104D4">
              <w:rPr>
                <w:szCs w:val="20"/>
              </w:rPr>
              <w:t>Cost of NGS for a minimum of 3 genes:</w:t>
            </w:r>
          </w:p>
          <w:p w:rsidR="007104D4" w:rsidRPr="007104D4" w:rsidRDefault="007104D4" w:rsidP="007104D4">
            <w:pPr>
              <w:numPr>
                <w:ilvl w:val="0"/>
                <w:numId w:val="40"/>
              </w:numPr>
              <w:spacing w:before="0" w:after="0"/>
              <w:contextualSpacing/>
              <w:rPr>
                <w:szCs w:val="20"/>
              </w:rPr>
            </w:pPr>
            <w:r w:rsidRPr="007104D4">
              <w:rPr>
                <w:szCs w:val="20"/>
              </w:rPr>
              <w:t>DNA and RNA extraction and quantification: $30 per sample</w:t>
            </w:r>
          </w:p>
          <w:p w:rsidR="007104D4" w:rsidRPr="007104D4" w:rsidRDefault="007104D4" w:rsidP="007104D4">
            <w:pPr>
              <w:numPr>
                <w:ilvl w:val="0"/>
                <w:numId w:val="40"/>
              </w:numPr>
              <w:spacing w:before="0" w:after="0"/>
              <w:contextualSpacing/>
              <w:rPr>
                <w:szCs w:val="20"/>
              </w:rPr>
            </w:pPr>
            <w:r w:rsidRPr="007104D4">
              <w:rPr>
                <w:szCs w:val="20"/>
              </w:rPr>
              <w:t>Kit: $250 per sample</w:t>
            </w:r>
          </w:p>
          <w:p w:rsidR="007104D4" w:rsidRPr="007104D4" w:rsidRDefault="007104D4" w:rsidP="007104D4">
            <w:pPr>
              <w:numPr>
                <w:ilvl w:val="0"/>
                <w:numId w:val="40"/>
              </w:numPr>
              <w:spacing w:before="0" w:after="0"/>
              <w:contextualSpacing/>
              <w:rPr>
                <w:szCs w:val="20"/>
              </w:rPr>
            </w:pPr>
            <w:r w:rsidRPr="007104D4">
              <w:rPr>
                <w:szCs w:val="20"/>
              </w:rPr>
              <w:t>Sequencing: $150 per sample</w:t>
            </w:r>
          </w:p>
          <w:p w:rsidR="007104D4" w:rsidRPr="007104D4" w:rsidRDefault="007104D4" w:rsidP="007104D4">
            <w:pPr>
              <w:numPr>
                <w:ilvl w:val="0"/>
                <w:numId w:val="40"/>
              </w:numPr>
              <w:spacing w:before="0" w:after="0"/>
              <w:contextualSpacing/>
              <w:rPr>
                <w:szCs w:val="20"/>
              </w:rPr>
            </w:pPr>
            <w:r w:rsidRPr="007104D4">
              <w:rPr>
                <w:szCs w:val="20"/>
              </w:rPr>
              <w:t>Labour (medical and scientific) and bioinformatics for interpretation: $170</w:t>
            </w:r>
          </w:p>
          <w:p w:rsidR="007104D4" w:rsidRPr="007104D4" w:rsidRDefault="007104D4" w:rsidP="007104D4">
            <w:pPr>
              <w:spacing w:before="0" w:after="0"/>
              <w:rPr>
                <w:sz w:val="22"/>
              </w:rPr>
            </w:pPr>
          </w:p>
        </w:tc>
        <w:tc>
          <w:tcPr>
            <w:tcW w:w="1224" w:type="dxa"/>
            <w:tcBorders>
              <w:top w:val="single" w:sz="4" w:space="0" w:color="auto"/>
              <w:left w:val="single" w:sz="4" w:space="0" w:color="auto"/>
              <w:bottom w:val="single" w:sz="4" w:space="0" w:color="auto"/>
              <w:right w:val="single" w:sz="4" w:space="0" w:color="auto"/>
            </w:tcBorders>
          </w:tcPr>
          <w:p w:rsidR="007104D4" w:rsidRPr="007104D4" w:rsidRDefault="007104D4" w:rsidP="007104D4">
            <w:pPr>
              <w:spacing w:before="0" w:after="0"/>
              <w:ind w:right="341"/>
              <w:jc w:val="right"/>
              <w:rPr>
                <w:sz w:val="22"/>
              </w:rPr>
            </w:pPr>
            <w:r w:rsidRPr="007104D4">
              <w:rPr>
                <w:sz w:val="22"/>
              </w:rPr>
              <w:t>$600</w:t>
            </w:r>
          </w:p>
        </w:tc>
      </w:tr>
      <w:tr w:rsidR="00A84AA4" w:rsidRPr="007104D4" w:rsidTr="007104D4">
        <w:tc>
          <w:tcPr>
            <w:tcW w:w="6837" w:type="dxa"/>
            <w:tcBorders>
              <w:top w:val="single" w:sz="4" w:space="0" w:color="auto"/>
              <w:left w:val="single" w:sz="4" w:space="0" w:color="auto"/>
              <w:bottom w:val="single" w:sz="4" w:space="0" w:color="auto"/>
              <w:right w:val="single" w:sz="4" w:space="0" w:color="auto"/>
            </w:tcBorders>
          </w:tcPr>
          <w:p w:rsidR="00A84AA4" w:rsidRPr="007104D4" w:rsidRDefault="00A84AA4" w:rsidP="007104D4">
            <w:pPr>
              <w:spacing w:before="0" w:after="0"/>
              <w:rPr>
                <w:szCs w:val="20"/>
              </w:rPr>
            </w:pPr>
            <w:r w:rsidRPr="007104D4">
              <w:rPr>
                <w:b/>
                <w:sz w:val="22"/>
              </w:rPr>
              <w:t>Total</w:t>
            </w:r>
          </w:p>
        </w:tc>
        <w:tc>
          <w:tcPr>
            <w:tcW w:w="1224" w:type="dxa"/>
            <w:tcBorders>
              <w:top w:val="single" w:sz="4" w:space="0" w:color="auto"/>
              <w:left w:val="single" w:sz="4" w:space="0" w:color="auto"/>
              <w:bottom w:val="single" w:sz="4" w:space="0" w:color="auto"/>
              <w:right w:val="single" w:sz="4" w:space="0" w:color="auto"/>
            </w:tcBorders>
          </w:tcPr>
          <w:p w:rsidR="00A84AA4" w:rsidRPr="00A84AA4" w:rsidRDefault="00A84AA4" w:rsidP="007104D4">
            <w:pPr>
              <w:spacing w:before="0" w:after="0"/>
              <w:ind w:right="341"/>
              <w:jc w:val="right"/>
              <w:rPr>
                <w:b/>
                <w:sz w:val="22"/>
              </w:rPr>
            </w:pPr>
            <w:r w:rsidRPr="00A84AA4">
              <w:rPr>
                <w:b/>
                <w:sz w:val="22"/>
              </w:rPr>
              <w:t>$600</w:t>
            </w:r>
          </w:p>
        </w:tc>
      </w:tr>
    </w:tbl>
    <w:p w:rsidR="00951933" w:rsidRDefault="00951933" w:rsidP="00AE1188">
      <w:pPr>
        <w:ind w:left="426"/>
        <w:rPr>
          <w:szCs w:val="20"/>
        </w:rPr>
      </w:pP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951933" w:rsidRDefault="007104D4" w:rsidP="00AE1188">
      <w:pPr>
        <w:ind w:left="426"/>
        <w:rPr>
          <w:b/>
          <w:szCs w:val="20"/>
        </w:rPr>
      </w:pPr>
      <w:r>
        <w:fldChar w:fldCharType="begin">
          <w:ffData>
            <w:name w:val=""/>
            <w:enabled/>
            <w:calcOnExit w:val="0"/>
            <w:textInput>
              <w:default w:val="7 -10 working days"/>
            </w:textInput>
          </w:ffData>
        </w:fldChar>
      </w:r>
      <w:r>
        <w:instrText xml:space="preserve"> FORMTEXT </w:instrText>
      </w:r>
      <w:r>
        <w:fldChar w:fldCharType="separate"/>
      </w:r>
      <w:r>
        <w:rPr>
          <w:noProof/>
        </w:rPr>
        <w:t>7 -10 working days</w:t>
      </w:r>
      <w:r>
        <w:fldChar w:fldCharType="end"/>
      </w: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7104D4" w:rsidRPr="007104D4" w:rsidRDefault="007104D4" w:rsidP="007104D4"/>
    <w:tbl>
      <w:tblPr>
        <w:tblStyle w:val="TableGrid11"/>
        <w:tblW w:w="0" w:type="auto"/>
        <w:tblInd w:w="534" w:type="dxa"/>
        <w:tblLook w:val="04A0" w:firstRow="1" w:lastRow="0" w:firstColumn="1" w:lastColumn="0" w:noHBand="0" w:noVBand="1"/>
        <w:tblCaption w:val="Proposed MBS item descriptor "/>
        <w:tblDescription w:val="Proposed MBS item descriptor "/>
      </w:tblPr>
      <w:tblGrid>
        <w:gridCol w:w="8482"/>
      </w:tblGrid>
      <w:tr w:rsidR="007104D4" w:rsidRPr="007104D4" w:rsidTr="00B10871">
        <w:tc>
          <w:tcPr>
            <w:tcW w:w="8708" w:type="dxa"/>
          </w:tcPr>
          <w:p w:rsidR="007104D4" w:rsidRPr="007104D4" w:rsidRDefault="007104D4" w:rsidP="007104D4">
            <w:pPr>
              <w:spacing w:before="0" w:after="0"/>
              <w:jc w:val="right"/>
              <w:rPr>
                <w:rFonts w:asciiTheme="minorHAnsi" w:hAnsiTheme="minorHAnsi"/>
                <w:szCs w:val="20"/>
              </w:rPr>
            </w:pPr>
            <w:r w:rsidRPr="007104D4">
              <w:rPr>
                <w:rFonts w:asciiTheme="minorHAnsi" w:hAnsiTheme="minorHAnsi"/>
                <w:szCs w:val="20"/>
              </w:rPr>
              <w:t>Category (proposed category number) – (proposed category description)</w:t>
            </w:r>
          </w:p>
        </w:tc>
      </w:tr>
      <w:tr w:rsidR="007104D4" w:rsidRPr="007104D4" w:rsidTr="00B10871">
        <w:tc>
          <w:tcPr>
            <w:tcW w:w="8708" w:type="dxa"/>
          </w:tcPr>
          <w:p w:rsidR="007104D4" w:rsidRPr="007104D4" w:rsidRDefault="007104D4" w:rsidP="007104D4">
            <w:pPr>
              <w:spacing w:before="0" w:after="0"/>
              <w:rPr>
                <w:rFonts w:asciiTheme="minorHAnsi" w:hAnsiTheme="minorHAnsi"/>
                <w:szCs w:val="20"/>
              </w:rPr>
            </w:pPr>
            <w:r w:rsidRPr="007104D4">
              <w:rPr>
                <w:rFonts w:asciiTheme="minorHAnsi" w:hAnsiTheme="minorHAnsi"/>
                <w:szCs w:val="20"/>
              </w:rPr>
              <w:t>Proposed item descriptor</w:t>
            </w:r>
          </w:p>
          <w:p w:rsidR="007104D4" w:rsidRPr="007104D4" w:rsidRDefault="007104D4" w:rsidP="007104D4">
            <w:pPr>
              <w:spacing w:before="0" w:after="0"/>
              <w:rPr>
                <w:rFonts w:asciiTheme="minorHAnsi" w:hAnsiTheme="minorHAnsi"/>
                <w:szCs w:val="20"/>
              </w:rPr>
            </w:pPr>
          </w:p>
          <w:p w:rsidR="007104D4" w:rsidRPr="007104D4" w:rsidRDefault="007104D4" w:rsidP="007104D4">
            <w:pPr>
              <w:spacing w:before="0" w:after="0"/>
              <w:rPr>
                <w:rFonts w:asciiTheme="minorHAnsi" w:hAnsiTheme="minorHAnsi"/>
                <w:szCs w:val="20"/>
              </w:rPr>
            </w:pPr>
            <w:r w:rsidRPr="007104D4">
              <w:rPr>
                <w:rFonts w:asciiTheme="minorHAnsi" w:hAnsiTheme="minorHAnsi"/>
                <w:szCs w:val="20"/>
              </w:rPr>
              <w:t xml:space="preserve">A panel test for the characterisation of gene rearrangements or somatic tumour mutations in a minimum of three genes, in neoplastic cells from patients with laboratory evidence of advanced cancer (including a service in items 73336, 73337, 73338 or 73341, if performed). The rearrangements or mutations must be clinically important and relevant to the patient’s cancer type and requested by, or on behalf of, a specialist or consultant physician (Pathologist determinable). At least one of the targeted genes must be used to determine whether requirements for a targeted therapy listed on the Pharmacy Benefits Schedule (PBS) are fulfilled. </w:t>
            </w:r>
          </w:p>
          <w:p w:rsidR="007104D4" w:rsidRPr="007104D4" w:rsidRDefault="007104D4" w:rsidP="007104D4">
            <w:pPr>
              <w:spacing w:before="0" w:after="0"/>
              <w:rPr>
                <w:rFonts w:asciiTheme="minorHAnsi" w:hAnsiTheme="minorHAnsi"/>
                <w:szCs w:val="20"/>
              </w:rPr>
            </w:pPr>
          </w:p>
          <w:p w:rsidR="007104D4" w:rsidRPr="007104D4" w:rsidRDefault="007104D4" w:rsidP="007104D4">
            <w:pPr>
              <w:spacing w:before="0" w:after="0"/>
              <w:rPr>
                <w:rFonts w:asciiTheme="minorHAnsi" w:hAnsiTheme="minorHAnsi"/>
                <w:szCs w:val="20"/>
              </w:rPr>
            </w:pPr>
            <w:r w:rsidRPr="007104D4">
              <w:rPr>
                <w:rFonts w:asciiTheme="minorHAnsi" w:hAnsiTheme="minorHAnsi"/>
                <w:szCs w:val="20"/>
              </w:rPr>
              <w:t xml:space="preserve">Multigene panel (minimum 3 genes) </w:t>
            </w:r>
          </w:p>
          <w:p w:rsidR="007104D4" w:rsidRPr="007104D4" w:rsidRDefault="007104D4" w:rsidP="007104D4">
            <w:pPr>
              <w:spacing w:before="0" w:after="0"/>
              <w:rPr>
                <w:rFonts w:asciiTheme="minorHAnsi" w:hAnsiTheme="minorHAnsi"/>
                <w:szCs w:val="20"/>
              </w:rPr>
            </w:pPr>
            <w:r w:rsidRPr="007104D4">
              <w:rPr>
                <w:rFonts w:asciiTheme="minorHAnsi" w:hAnsiTheme="minorHAnsi"/>
                <w:szCs w:val="20"/>
              </w:rPr>
              <w:t>Fee:  $600</w:t>
            </w:r>
          </w:p>
        </w:tc>
      </w:tr>
    </w:tbl>
    <w:p w:rsidR="007104D4" w:rsidRDefault="007104D4" w:rsidP="007104D4"/>
    <w:p w:rsidR="007104D4" w:rsidRDefault="007104D4" w:rsidP="007104D4"/>
    <w:p w:rsidR="00AE1188" w:rsidRDefault="00AE1188" w:rsidP="004A0BF4">
      <w:pPr>
        <w:pStyle w:val="Heading2"/>
        <w:numPr>
          <w:ilvl w:val="0"/>
          <w:numId w:val="0"/>
        </w:numPr>
        <w:ind w:left="360"/>
      </w:pPr>
      <w:r>
        <w:br w:type="page"/>
      </w:r>
    </w:p>
    <w:p w:rsidR="00E058F2" w:rsidRPr="00C776B1" w:rsidRDefault="001B5169" w:rsidP="00AE1188">
      <w:pPr>
        <w:pStyle w:val="Heading1"/>
      </w:pPr>
      <w:r>
        <w:lastRenderedPageBreak/>
        <w:t>PART 9</w:t>
      </w:r>
      <w:r w:rsidR="00F93784">
        <w:t xml:space="preserve"> – </w:t>
      </w:r>
      <w:r w:rsidR="00E058F2" w:rsidRPr="00C776B1">
        <w:t>FEEDBACK</w:t>
      </w:r>
    </w:p>
    <w:p w:rsidR="00E058F2" w:rsidRPr="00154B00" w:rsidRDefault="00E058F2" w:rsidP="00E058F2">
      <w:pPr>
        <w:rPr>
          <w:szCs w:val="20"/>
        </w:rPr>
      </w:pPr>
      <w:r w:rsidRPr="00154B00">
        <w:rPr>
          <w:szCs w:val="20"/>
        </w:rPr>
        <w:t>The Department</w:t>
      </w:r>
      <w:r w:rsidR="005A58BA">
        <w:rPr>
          <w:szCs w:val="20"/>
        </w:rPr>
        <w:t xml:space="preserve"> is interested in your feedback.</w:t>
      </w:r>
    </w:p>
    <w:p w:rsidR="00E058F2" w:rsidRPr="00AE1188" w:rsidRDefault="00E058F2" w:rsidP="001B5169">
      <w:pPr>
        <w:pStyle w:val="Heading2"/>
      </w:pPr>
      <w:r w:rsidRPr="00AE1188">
        <w:t>How long did it take to complete the Application Form?</w:t>
      </w:r>
    </w:p>
    <w:p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470ED">
        <w:rPr>
          <w:szCs w:val="20"/>
        </w:rPr>
      </w:r>
      <w:r w:rsidR="00C470ED">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470ED">
        <w:rPr>
          <w:szCs w:val="20"/>
        </w:rPr>
      </w:r>
      <w:r w:rsidR="00C470ED">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603D04" w:rsidP="001B5169">
      <w:pPr>
        <w:pStyle w:val="Heading2"/>
        <w:numPr>
          <w:ilvl w:val="0"/>
          <w:numId w:val="31"/>
        </w:numPr>
      </w:pPr>
      <w:r>
        <w:t>If no, provide areas of concern:</w:t>
      </w:r>
    </w:p>
    <w:p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470ED">
        <w:rPr>
          <w:szCs w:val="20"/>
        </w:rPr>
      </w:r>
      <w:r w:rsidR="00C470ED">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470ED">
        <w:rPr>
          <w:szCs w:val="20"/>
        </w:rPr>
      </w:r>
      <w:r w:rsidR="00C470ED">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3D6DE1" w:rsidP="001B5169">
      <w:pPr>
        <w:pStyle w:val="Heading2"/>
        <w:numPr>
          <w:ilvl w:val="0"/>
          <w:numId w:val="32"/>
        </w:numPr>
      </w:pPr>
      <w:r>
        <w:t>If no, what areas did you find not to be useful?</w:t>
      </w:r>
    </w:p>
    <w:p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470ED">
        <w:rPr>
          <w:szCs w:val="20"/>
        </w:rPr>
      </w:r>
      <w:r w:rsidR="00C470ED">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470ED">
        <w:rPr>
          <w:szCs w:val="20"/>
        </w:rPr>
      </w:r>
      <w:r w:rsidR="00C470ED">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1B5169">
      <w:pPr>
        <w:pStyle w:val="Heading2"/>
        <w:numPr>
          <w:ilvl w:val="0"/>
          <w:numId w:val="33"/>
        </w:numPr>
      </w:pPr>
      <w:r w:rsidRPr="00154B00">
        <w:t>If yes, please advise:</w:t>
      </w:r>
    </w:p>
    <w:p w:rsidR="00451840" w:rsidRDefault="00B10871" w:rsidP="00B10871">
      <w:pPr>
        <w:ind w:left="426"/>
      </w:pPr>
      <w:r w:rsidRPr="00B10871">
        <w:t>The form could be better tailored for Pathology items that are not technology-specific (i.e. not a single TGA product) and already have established rules in the MBS (Approved Pathology Practitioners; accredited laboratories; referrals by registered medical practitioners).</w:t>
      </w:r>
    </w:p>
    <w:p w:rsidR="008B4CF7" w:rsidRDefault="008B4CF7" w:rsidP="00367BCD">
      <w:pPr>
        <w:rPr>
          <w:b/>
          <w:szCs w:val="20"/>
        </w:rPr>
        <w:sectPr w:rsidR="008B4CF7" w:rsidSect="00DD308E">
          <w:pgSz w:w="11906" w:h="16838"/>
          <w:pgMar w:top="1440" w:right="1440" w:bottom="1440" w:left="1440" w:header="708" w:footer="708" w:gutter="0"/>
          <w:cols w:space="708"/>
          <w:docGrid w:linePitch="360"/>
        </w:sectPr>
      </w:pPr>
    </w:p>
    <w:p w:rsidR="008B4CF7" w:rsidRPr="008B4CF7" w:rsidRDefault="008B4CF7" w:rsidP="008B4CF7">
      <w:pPr>
        <w:ind w:left="426"/>
        <w:rPr>
          <w:b/>
          <w:szCs w:val="20"/>
        </w:rPr>
      </w:pPr>
      <w:r w:rsidRPr="008B4CF7">
        <w:rPr>
          <w:b/>
          <w:szCs w:val="20"/>
        </w:rPr>
        <w:lastRenderedPageBreak/>
        <w:t>Appendix A Flowcharts</w:t>
      </w:r>
    </w:p>
    <w:p w:rsidR="008B4CF7" w:rsidRPr="008B4CF7" w:rsidRDefault="008B4CF7" w:rsidP="008B4CF7">
      <w:pPr>
        <w:ind w:left="426"/>
        <w:rPr>
          <w:b/>
          <w:szCs w:val="20"/>
        </w:rPr>
      </w:pPr>
      <w:r w:rsidRPr="008B4CF7">
        <w:rPr>
          <w:b/>
          <w:szCs w:val="20"/>
        </w:rPr>
        <w:t>Q26 Current clinical pathway before intervention</w:t>
      </w:r>
    </w:p>
    <w:p w:rsidR="008B4CF7" w:rsidRDefault="008B4CF7" w:rsidP="008B4CF7">
      <w:pPr>
        <w:ind w:left="426"/>
        <w:rPr>
          <w:b/>
          <w:szCs w:val="20"/>
        </w:rPr>
      </w:pPr>
      <w:r w:rsidRPr="008B4CF7">
        <w:rPr>
          <w:b/>
          <w:szCs w:val="20"/>
        </w:rPr>
        <w:t>Somatic tumour gene panel</w:t>
      </w:r>
    </w:p>
    <w:p w:rsidR="00C470ED" w:rsidRDefault="00C470ED" w:rsidP="008B4CF7">
      <w:pPr>
        <w:ind w:left="426"/>
        <w:rPr>
          <w:b/>
          <w:szCs w:val="20"/>
        </w:rPr>
      </w:pPr>
    </w:p>
    <w:p w:rsidR="00C470ED" w:rsidRDefault="00C470ED" w:rsidP="008B4CF7">
      <w:pPr>
        <w:ind w:left="426"/>
        <w:rPr>
          <w:b/>
          <w:szCs w:val="20"/>
        </w:rPr>
      </w:pPr>
      <w:r>
        <w:rPr>
          <w:b/>
          <w:noProof/>
          <w:szCs w:val="20"/>
        </w:rPr>
        <w:drawing>
          <wp:inline distT="0" distB="0" distL="0" distR="0">
            <wp:extent cx="8715375" cy="4276725"/>
            <wp:effectExtent l="0" t="0" r="9525" b="9525"/>
            <wp:docPr id="5" name="Picture 5" descr="Somatic tumour gene panel" title="Somatic tumour gen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715375" cy="4276725"/>
                    </a:xfrm>
                    <a:prstGeom prst="rect">
                      <a:avLst/>
                    </a:prstGeom>
                    <a:noFill/>
                    <a:ln>
                      <a:noFill/>
                    </a:ln>
                  </pic:spPr>
                </pic:pic>
              </a:graphicData>
            </a:graphic>
          </wp:inline>
        </w:drawing>
      </w:r>
    </w:p>
    <w:p w:rsidR="00C470ED" w:rsidRDefault="00C470ED" w:rsidP="008B4CF7">
      <w:pPr>
        <w:ind w:left="426"/>
        <w:rPr>
          <w:b/>
          <w:szCs w:val="20"/>
        </w:rPr>
      </w:pPr>
    </w:p>
    <w:p w:rsidR="00C470ED" w:rsidRPr="008B4CF7" w:rsidRDefault="00C470ED" w:rsidP="008B4CF7">
      <w:pPr>
        <w:ind w:left="426"/>
        <w:rPr>
          <w:b/>
          <w:szCs w:val="20"/>
        </w:rPr>
      </w:pPr>
    </w:p>
    <w:p w:rsidR="008B4CF7" w:rsidRPr="008B4CF7" w:rsidRDefault="008B4CF7" w:rsidP="008B4CF7">
      <w:pPr>
        <w:ind w:left="426"/>
        <w:rPr>
          <w:b/>
          <w:szCs w:val="20"/>
        </w:rPr>
      </w:pPr>
      <w:r w:rsidRPr="008B4CF7">
        <w:rPr>
          <w:b/>
          <w:szCs w:val="20"/>
        </w:rPr>
        <w:lastRenderedPageBreak/>
        <w:t>Q40 Current clinical pathway after comparator</w:t>
      </w:r>
    </w:p>
    <w:p w:rsidR="008B4CF7" w:rsidRPr="008B4CF7" w:rsidRDefault="008B4CF7" w:rsidP="008B4CF7">
      <w:pPr>
        <w:ind w:left="426"/>
        <w:rPr>
          <w:i/>
          <w:szCs w:val="20"/>
        </w:rPr>
      </w:pPr>
      <w:r w:rsidRPr="008B4CF7">
        <w:rPr>
          <w:b/>
          <w:szCs w:val="20"/>
        </w:rPr>
        <w:t>Somatic tumour gene panel</w:t>
      </w:r>
    </w:p>
    <w:p w:rsidR="00C470ED" w:rsidRDefault="00C470ED" w:rsidP="008B4CF7">
      <w:pPr>
        <w:ind w:left="426"/>
        <w:rPr>
          <w:szCs w:val="20"/>
        </w:rPr>
      </w:pPr>
    </w:p>
    <w:p w:rsidR="00C470ED" w:rsidRDefault="00C470ED" w:rsidP="008B4CF7">
      <w:pPr>
        <w:ind w:left="426"/>
        <w:rPr>
          <w:szCs w:val="20"/>
        </w:rPr>
      </w:pPr>
      <w:r>
        <w:rPr>
          <w:noProof/>
          <w:szCs w:val="20"/>
        </w:rPr>
        <w:drawing>
          <wp:inline distT="0" distB="0" distL="0" distR="0">
            <wp:extent cx="8858250" cy="4857750"/>
            <wp:effectExtent l="0" t="0" r="0" b="0"/>
            <wp:docPr id="18" name="Picture 18" descr="Somatic tumour gene panel" title="Somatic tumour gene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58250" cy="4857750"/>
                    </a:xfrm>
                    <a:prstGeom prst="rect">
                      <a:avLst/>
                    </a:prstGeom>
                    <a:noFill/>
                    <a:ln>
                      <a:noFill/>
                    </a:ln>
                  </pic:spPr>
                </pic:pic>
              </a:graphicData>
            </a:graphic>
          </wp:inline>
        </w:drawing>
      </w:r>
    </w:p>
    <w:sectPr w:rsidR="00C470ED" w:rsidSect="008B4CF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C02" w:rsidRDefault="00F01C02" w:rsidP="00CF2DFA">
      <w:pPr>
        <w:spacing w:after="0"/>
      </w:pPr>
      <w:r>
        <w:separator/>
      </w:r>
    </w:p>
  </w:endnote>
  <w:endnote w:type="continuationSeparator" w:id="0">
    <w:p w:rsidR="00F01C02" w:rsidRDefault="00F01C0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F01C02" w:rsidRDefault="00F01C0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470ED" w:rsidRPr="00C470ED">
          <w:rPr>
            <w:b/>
            <w:bCs/>
            <w:noProof/>
            <w:sz w:val="18"/>
            <w:szCs w:val="18"/>
          </w:rPr>
          <w:t>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F01C02" w:rsidRPr="003F7CB9" w:rsidRDefault="00F01C0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C02" w:rsidRDefault="00F01C02" w:rsidP="00CF2DFA">
      <w:pPr>
        <w:spacing w:after="0"/>
      </w:pPr>
      <w:r>
        <w:separator/>
      </w:r>
    </w:p>
  </w:footnote>
  <w:footnote w:type="continuationSeparator" w:id="0">
    <w:p w:rsidR="00F01C02" w:rsidRDefault="00F01C02"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6D224E9"/>
    <w:multiLevelType w:val="hybridMultilevel"/>
    <w:tmpl w:val="F42608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19325D"/>
    <w:multiLevelType w:val="hybridMultilevel"/>
    <w:tmpl w:val="CE425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BAB0889"/>
    <w:multiLevelType w:val="hybridMultilevel"/>
    <w:tmpl w:val="88D4C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4A556486"/>
    <w:multiLevelType w:val="hybridMultilevel"/>
    <w:tmpl w:val="7B6EC10A"/>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0"/>
  </w:num>
  <w:num w:numId="26">
    <w:abstractNumId w:val="3"/>
  </w:num>
  <w:num w:numId="27">
    <w:abstractNumId w:val="17"/>
  </w:num>
  <w:num w:numId="28">
    <w:abstractNumId w:val="12"/>
  </w:num>
  <w:num w:numId="29">
    <w:abstractNumId w:val="21"/>
  </w:num>
  <w:num w:numId="30">
    <w:abstractNumId w:val="2"/>
  </w:num>
  <w:num w:numId="31">
    <w:abstractNumId w:val="19"/>
  </w:num>
  <w:num w:numId="32">
    <w:abstractNumId w:val="7"/>
  </w:num>
  <w:num w:numId="33">
    <w:abstractNumId w:val="18"/>
  </w:num>
  <w:num w:numId="34">
    <w:abstractNumId w:val="5"/>
  </w:num>
  <w:num w:numId="35">
    <w:abstractNumId w:val="13"/>
  </w:num>
  <w:num w:numId="36">
    <w:abstractNumId w:val="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58AA"/>
    <w:rsid w:val="000159B9"/>
    <w:rsid w:val="00016B6E"/>
    <w:rsid w:val="00023E21"/>
    <w:rsid w:val="00025ABC"/>
    <w:rsid w:val="00026412"/>
    <w:rsid w:val="000269EE"/>
    <w:rsid w:val="00031F6F"/>
    <w:rsid w:val="00032181"/>
    <w:rsid w:val="00034D6E"/>
    <w:rsid w:val="0005089D"/>
    <w:rsid w:val="000525BC"/>
    <w:rsid w:val="00073222"/>
    <w:rsid w:val="000770BA"/>
    <w:rsid w:val="00092580"/>
    <w:rsid w:val="00094BD2"/>
    <w:rsid w:val="000955E7"/>
    <w:rsid w:val="000A110D"/>
    <w:rsid w:val="000A478F"/>
    <w:rsid w:val="000A5B32"/>
    <w:rsid w:val="000B3CD0"/>
    <w:rsid w:val="000D066E"/>
    <w:rsid w:val="000D0831"/>
    <w:rsid w:val="000E47E7"/>
    <w:rsid w:val="000E5439"/>
    <w:rsid w:val="000F1C83"/>
    <w:rsid w:val="00102686"/>
    <w:rsid w:val="0011036E"/>
    <w:rsid w:val="001130B0"/>
    <w:rsid w:val="0011369B"/>
    <w:rsid w:val="0011742E"/>
    <w:rsid w:val="00123D10"/>
    <w:rsid w:val="00126B33"/>
    <w:rsid w:val="00154B00"/>
    <w:rsid w:val="001644E9"/>
    <w:rsid w:val="001845D9"/>
    <w:rsid w:val="0018630F"/>
    <w:rsid w:val="001906CD"/>
    <w:rsid w:val="00191B99"/>
    <w:rsid w:val="00196668"/>
    <w:rsid w:val="0019694B"/>
    <w:rsid w:val="00197D29"/>
    <w:rsid w:val="001A02E3"/>
    <w:rsid w:val="001A1ADF"/>
    <w:rsid w:val="001A365C"/>
    <w:rsid w:val="001B171D"/>
    <w:rsid w:val="001B29A1"/>
    <w:rsid w:val="001B5169"/>
    <w:rsid w:val="001B6164"/>
    <w:rsid w:val="001D77ED"/>
    <w:rsid w:val="001E1180"/>
    <w:rsid w:val="001E23EA"/>
    <w:rsid w:val="001E6919"/>
    <w:rsid w:val="001E6958"/>
    <w:rsid w:val="00201924"/>
    <w:rsid w:val="00202473"/>
    <w:rsid w:val="002053F2"/>
    <w:rsid w:val="00206D63"/>
    <w:rsid w:val="0021185D"/>
    <w:rsid w:val="00226777"/>
    <w:rsid w:val="00235BD1"/>
    <w:rsid w:val="00237E4A"/>
    <w:rsid w:val="00242B0E"/>
    <w:rsid w:val="00247DF0"/>
    <w:rsid w:val="00254813"/>
    <w:rsid w:val="00257FF2"/>
    <w:rsid w:val="00265822"/>
    <w:rsid w:val="0027105F"/>
    <w:rsid w:val="002711FB"/>
    <w:rsid w:val="00283318"/>
    <w:rsid w:val="00285525"/>
    <w:rsid w:val="00294CD8"/>
    <w:rsid w:val="002A270B"/>
    <w:rsid w:val="002A50FD"/>
    <w:rsid w:val="002A6753"/>
    <w:rsid w:val="002B28D7"/>
    <w:rsid w:val="002B7EB6"/>
    <w:rsid w:val="002C0B61"/>
    <w:rsid w:val="002C15E6"/>
    <w:rsid w:val="002C247D"/>
    <w:rsid w:val="002C3345"/>
    <w:rsid w:val="002D409A"/>
    <w:rsid w:val="002F30E7"/>
    <w:rsid w:val="00300EEB"/>
    <w:rsid w:val="003013A9"/>
    <w:rsid w:val="003020B5"/>
    <w:rsid w:val="003027BB"/>
    <w:rsid w:val="00310A10"/>
    <w:rsid w:val="00327D25"/>
    <w:rsid w:val="003319A7"/>
    <w:rsid w:val="00334FE3"/>
    <w:rsid w:val="003421AE"/>
    <w:rsid w:val="003433D1"/>
    <w:rsid w:val="00344B24"/>
    <w:rsid w:val="003456B9"/>
    <w:rsid w:val="0035067D"/>
    <w:rsid w:val="00353A16"/>
    <w:rsid w:val="0035776D"/>
    <w:rsid w:val="00364FD9"/>
    <w:rsid w:val="00367BCD"/>
    <w:rsid w:val="00367C1B"/>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2180"/>
    <w:rsid w:val="00403333"/>
    <w:rsid w:val="00411735"/>
    <w:rsid w:val="00415C74"/>
    <w:rsid w:val="00423481"/>
    <w:rsid w:val="0043654D"/>
    <w:rsid w:val="00451741"/>
    <w:rsid w:val="00451840"/>
    <w:rsid w:val="00460C9A"/>
    <w:rsid w:val="00463433"/>
    <w:rsid w:val="00464924"/>
    <w:rsid w:val="0047581D"/>
    <w:rsid w:val="00480289"/>
    <w:rsid w:val="00481279"/>
    <w:rsid w:val="00483368"/>
    <w:rsid w:val="00494011"/>
    <w:rsid w:val="004A0BF4"/>
    <w:rsid w:val="004A263B"/>
    <w:rsid w:val="004B68AE"/>
    <w:rsid w:val="004C35B0"/>
    <w:rsid w:val="004C49EF"/>
    <w:rsid w:val="004C4A19"/>
    <w:rsid w:val="004C5570"/>
    <w:rsid w:val="004D00C9"/>
    <w:rsid w:val="004E16F5"/>
    <w:rsid w:val="004E3CC7"/>
    <w:rsid w:val="004E5B69"/>
    <w:rsid w:val="004F2A87"/>
    <w:rsid w:val="00507C56"/>
    <w:rsid w:val="00522488"/>
    <w:rsid w:val="0052344E"/>
    <w:rsid w:val="00526478"/>
    <w:rsid w:val="00530204"/>
    <w:rsid w:val="00534C5F"/>
    <w:rsid w:val="00540257"/>
    <w:rsid w:val="0054192F"/>
    <w:rsid w:val="00544EB3"/>
    <w:rsid w:val="0054594B"/>
    <w:rsid w:val="0054749B"/>
    <w:rsid w:val="00551CC6"/>
    <w:rsid w:val="00560541"/>
    <w:rsid w:val="005672D0"/>
    <w:rsid w:val="00572CEB"/>
    <w:rsid w:val="005834C9"/>
    <w:rsid w:val="005A58BA"/>
    <w:rsid w:val="005A5D30"/>
    <w:rsid w:val="005A6AB9"/>
    <w:rsid w:val="005C333E"/>
    <w:rsid w:val="005C3AE7"/>
    <w:rsid w:val="005D0677"/>
    <w:rsid w:val="005E294C"/>
    <w:rsid w:val="005E2CE3"/>
    <w:rsid w:val="005F3F07"/>
    <w:rsid w:val="0060088B"/>
    <w:rsid w:val="00603D04"/>
    <w:rsid w:val="00606857"/>
    <w:rsid w:val="00615F42"/>
    <w:rsid w:val="006258C2"/>
    <w:rsid w:val="00626365"/>
    <w:rsid w:val="00630E22"/>
    <w:rsid w:val="0064168C"/>
    <w:rsid w:val="00657B46"/>
    <w:rsid w:val="006764EC"/>
    <w:rsid w:val="006835FE"/>
    <w:rsid w:val="00693BFD"/>
    <w:rsid w:val="00695065"/>
    <w:rsid w:val="006A1038"/>
    <w:rsid w:val="006A649A"/>
    <w:rsid w:val="006B1B49"/>
    <w:rsid w:val="006B6390"/>
    <w:rsid w:val="006C0356"/>
    <w:rsid w:val="006C0843"/>
    <w:rsid w:val="006C74B1"/>
    <w:rsid w:val="006E57AA"/>
    <w:rsid w:val="006F20CF"/>
    <w:rsid w:val="006F38ED"/>
    <w:rsid w:val="00701ED9"/>
    <w:rsid w:val="00707D4D"/>
    <w:rsid w:val="007104D4"/>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91C8D"/>
    <w:rsid w:val="0079388D"/>
    <w:rsid w:val="00794181"/>
    <w:rsid w:val="007A7F6F"/>
    <w:rsid w:val="007B4C76"/>
    <w:rsid w:val="007C2260"/>
    <w:rsid w:val="007D1E52"/>
    <w:rsid w:val="007D2358"/>
    <w:rsid w:val="007E39E4"/>
    <w:rsid w:val="007E6FB3"/>
    <w:rsid w:val="007F21B4"/>
    <w:rsid w:val="00802553"/>
    <w:rsid w:val="00803EAB"/>
    <w:rsid w:val="008046B5"/>
    <w:rsid w:val="008127C0"/>
    <w:rsid w:val="00812EDD"/>
    <w:rsid w:val="008139C5"/>
    <w:rsid w:val="0081650F"/>
    <w:rsid w:val="00832B31"/>
    <w:rsid w:val="008403E0"/>
    <w:rsid w:val="0084657B"/>
    <w:rsid w:val="00855944"/>
    <w:rsid w:val="00864A18"/>
    <w:rsid w:val="00870833"/>
    <w:rsid w:val="00874571"/>
    <w:rsid w:val="00881F93"/>
    <w:rsid w:val="00882CB5"/>
    <w:rsid w:val="00883641"/>
    <w:rsid w:val="00884E69"/>
    <w:rsid w:val="00890082"/>
    <w:rsid w:val="008A48D2"/>
    <w:rsid w:val="008B2610"/>
    <w:rsid w:val="008B471D"/>
    <w:rsid w:val="008B49E4"/>
    <w:rsid w:val="008B4CF7"/>
    <w:rsid w:val="008B729C"/>
    <w:rsid w:val="008C4A93"/>
    <w:rsid w:val="008E0E49"/>
    <w:rsid w:val="008E35FD"/>
    <w:rsid w:val="008E6227"/>
    <w:rsid w:val="008E78B9"/>
    <w:rsid w:val="0090543D"/>
    <w:rsid w:val="009056C5"/>
    <w:rsid w:val="009262F2"/>
    <w:rsid w:val="00937791"/>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D6304"/>
    <w:rsid w:val="009F0C02"/>
    <w:rsid w:val="009F401D"/>
    <w:rsid w:val="009F5758"/>
    <w:rsid w:val="00A0283F"/>
    <w:rsid w:val="00A04F4A"/>
    <w:rsid w:val="00A26343"/>
    <w:rsid w:val="00A408B5"/>
    <w:rsid w:val="00A529E2"/>
    <w:rsid w:val="00A539F8"/>
    <w:rsid w:val="00A6491A"/>
    <w:rsid w:val="00A6594E"/>
    <w:rsid w:val="00A727B6"/>
    <w:rsid w:val="00A81CC6"/>
    <w:rsid w:val="00A83EC6"/>
    <w:rsid w:val="00A84AA4"/>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B040A9"/>
    <w:rsid w:val="00B10871"/>
    <w:rsid w:val="00B1711E"/>
    <w:rsid w:val="00B17CBE"/>
    <w:rsid w:val="00B17E26"/>
    <w:rsid w:val="00B231A4"/>
    <w:rsid w:val="00B25D20"/>
    <w:rsid w:val="00B31C99"/>
    <w:rsid w:val="00B373F3"/>
    <w:rsid w:val="00B53BA6"/>
    <w:rsid w:val="00B5731D"/>
    <w:rsid w:val="00B6378B"/>
    <w:rsid w:val="00B63E3A"/>
    <w:rsid w:val="00B75965"/>
    <w:rsid w:val="00B771AD"/>
    <w:rsid w:val="00B814CB"/>
    <w:rsid w:val="00B9626F"/>
    <w:rsid w:val="00BA0CF8"/>
    <w:rsid w:val="00BA1ADF"/>
    <w:rsid w:val="00BA51FC"/>
    <w:rsid w:val="00BB003A"/>
    <w:rsid w:val="00BB3358"/>
    <w:rsid w:val="00BB3382"/>
    <w:rsid w:val="00BB3643"/>
    <w:rsid w:val="00BC3DA0"/>
    <w:rsid w:val="00BC424B"/>
    <w:rsid w:val="00BE0FDE"/>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470ED"/>
    <w:rsid w:val="00C50513"/>
    <w:rsid w:val="00C54503"/>
    <w:rsid w:val="00C63055"/>
    <w:rsid w:val="00C73B62"/>
    <w:rsid w:val="00C776B1"/>
    <w:rsid w:val="00C815FE"/>
    <w:rsid w:val="00C847AE"/>
    <w:rsid w:val="00CA04C6"/>
    <w:rsid w:val="00CA26DD"/>
    <w:rsid w:val="00CB12EC"/>
    <w:rsid w:val="00CB2121"/>
    <w:rsid w:val="00CC09D7"/>
    <w:rsid w:val="00CC12B8"/>
    <w:rsid w:val="00CD22E3"/>
    <w:rsid w:val="00CD4E44"/>
    <w:rsid w:val="00CD5AE4"/>
    <w:rsid w:val="00CD7A7D"/>
    <w:rsid w:val="00CF2D8E"/>
    <w:rsid w:val="00CF2DFA"/>
    <w:rsid w:val="00CF5AD8"/>
    <w:rsid w:val="00CF5B7E"/>
    <w:rsid w:val="00D00122"/>
    <w:rsid w:val="00D01D2A"/>
    <w:rsid w:val="00D10B47"/>
    <w:rsid w:val="00D11D37"/>
    <w:rsid w:val="00D11EB1"/>
    <w:rsid w:val="00D12950"/>
    <w:rsid w:val="00D17F17"/>
    <w:rsid w:val="00D23597"/>
    <w:rsid w:val="00D30BDC"/>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70D86"/>
    <w:rsid w:val="00E7628E"/>
    <w:rsid w:val="00E82F54"/>
    <w:rsid w:val="00E8649B"/>
    <w:rsid w:val="00E871CD"/>
    <w:rsid w:val="00E90990"/>
    <w:rsid w:val="00E95D3D"/>
    <w:rsid w:val="00EA0E25"/>
    <w:rsid w:val="00EA173C"/>
    <w:rsid w:val="00EB67FB"/>
    <w:rsid w:val="00EC127A"/>
    <w:rsid w:val="00EC1FF9"/>
    <w:rsid w:val="00EC2737"/>
    <w:rsid w:val="00EE2716"/>
    <w:rsid w:val="00EE6450"/>
    <w:rsid w:val="00F01C02"/>
    <w:rsid w:val="00F01C2C"/>
    <w:rsid w:val="00F10ED8"/>
    <w:rsid w:val="00F222BE"/>
    <w:rsid w:val="00F24179"/>
    <w:rsid w:val="00F301F1"/>
    <w:rsid w:val="00F30C22"/>
    <w:rsid w:val="00F33F1A"/>
    <w:rsid w:val="00F547F7"/>
    <w:rsid w:val="00F54CCF"/>
    <w:rsid w:val="00F571A7"/>
    <w:rsid w:val="00F61D7A"/>
    <w:rsid w:val="00F637B3"/>
    <w:rsid w:val="00F66CF7"/>
    <w:rsid w:val="00F67BCB"/>
    <w:rsid w:val="00F77C57"/>
    <w:rsid w:val="00F813C7"/>
    <w:rsid w:val="00F83566"/>
    <w:rsid w:val="00F83A9D"/>
    <w:rsid w:val="00F906B5"/>
    <w:rsid w:val="00F93784"/>
    <w:rsid w:val="00F971CC"/>
    <w:rsid w:val="00FA2CAA"/>
    <w:rsid w:val="00FA3DA1"/>
    <w:rsid w:val="00FA6554"/>
    <w:rsid w:val="00FC3699"/>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2F43B6"/>
  <w15:docId w15:val="{73D4E05F-752E-4768-B891-242E4C40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table" w:customStyle="1" w:styleId="TableGrid2">
    <w:name w:val="Table Grid2"/>
    <w:basedOn w:val="TableNormal"/>
    <w:next w:val="TableGrid"/>
    <w:uiPriority w:val="59"/>
    <w:rsid w:val="00522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1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1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104D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1D37"/>
    <w:rPr>
      <w:color w:val="808080"/>
      <w:shd w:val="clear" w:color="auto" w:fill="E6E6E6"/>
    </w:rPr>
  </w:style>
  <w:style w:type="character" w:styleId="FollowedHyperlink">
    <w:name w:val="FollowedHyperlink"/>
    <w:basedOn w:val="DefaultParagraphFont"/>
    <w:uiPriority w:val="99"/>
    <w:semiHidden/>
    <w:unhideWhenUsed/>
    <w:rsid w:val="00D11D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14405507">
      <w:bodyDiv w:val="1"/>
      <w:marLeft w:val="0"/>
      <w:marRight w:val="0"/>
      <w:marTop w:val="0"/>
      <w:marBottom w:val="0"/>
      <w:divBdr>
        <w:top w:val="none" w:sz="0" w:space="0" w:color="auto"/>
        <w:left w:val="none" w:sz="0" w:space="0" w:color="auto"/>
        <w:bottom w:val="none" w:sz="0" w:space="0" w:color="auto"/>
        <w:right w:val="none" w:sz="0" w:space="0" w:color="auto"/>
      </w:divBdr>
    </w:div>
    <w:div w:id="858079611">
      <w:bodyDiv w:val="1"/>
      <w:marLeft w:val="0"/>
      <w:marRight w:val="0"/>
      <w:marTop w:val="0"/>
      <w:marBottom w:val="0"/>
      <w:divBdr>
        <w:top w:val="none" w:sz="0" w:space="0" w:color="auto"/>
        <w:left w:val="none" w:sz="0" w:space="0" w:color="auto"/>
        <w:bottom w:val="none" w:sz="0" w:space="0" w:color="auto"/>
        <w:right w:val="none" w:sz="0" w:space="0" w:color="auto"/>
      </w:divBdr>
    </w:div>
    <w:div w:id="944382057">
      <w:bodyDiv w:val="1"/>
      <w:marLeft w:val="0"/>
      <w:marRight w:val="0"/>
      <w:marTop w:val="0"/>
      <w:marBottom w:val="0"/>
      <w:divBdr>
        <w:top w:val="none" w:sz="0" w:space="0" w:color="auto"/>
        <w:left w:val="none" w:sz="0" w:space="0" w:color="auto"/>
        <w:bottom w:val="none" w:sz="0" w:space="0" w:color="auto"/>
        <w:right w:val="none" w:sz="0" w:space="0" w:color="auto"/>
      </w:divBdr>
    </w:div>
    <w:div w:id="1183784913">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nlinelibrary.wiley.com/doi/10.1002/path.4365/epdf" TargetMode="External"/><Relationship Id="rId18" Type="http://schemas.openxmlformats.org/officeDocument/2006/relationships/hyperlink" Target="http://meetinglibrary.asco.org/content/116665-132" TargetMode="External"/><Relationship Id="rId26" Type="http://schemas.openxmlformats.org/officeDocument/2006/relationships/hyperlink" Target="http://www.aihw.gov.au/australian-cancer-database/" TargetMode="External"/><Relationship Id="rId3" Type="http://schemas.openxmlformats.org/officeDocument/2006/relationships/styles" Target="styles.xml"/><Relationship Id="rId21" Type="http://schemas.openxmlformats.org/officeDocument/2006/relationships/hyperlink" Target="http://link.springer.com/chapter/10.1007%2F978-3-319-24932-2_7"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sciencedirect.com/science/article/pii/S1525157816000532" TargetMode="External"/><Relationship Id="rId17" Type="http://schemas.openxmlformats.org/officeDocument/2006/relationships/hyperlink" Target="http://www.jto.org/article/S1556-0864(16)30946-7/abstract" TargetMode="External"/><Relationship Id="rId25" Type="http://schemas.openxmlformats.org/officeDocument/2006/relationships/hyperlink" Target="http://www.aihw.gov.au/cancer/" TargetMode="External"/><Relationship Id="rId33" Type="http://schemas.openxmlformats.org/officeDocument/2006/relationships/hyperlink" Target="https://melanoma.canceraustralia.gov.au/statistics" TargetMode="External"/><Relationship Id="rId2" Type="http://schemas.openxmlformats.org/officeDocument/2006/relationships/numbering" Target="numbering.xml"/><Relationship Id="rId16" Type="http://schemas.openxmlformats.org/officeDocument/2006/relationships/hyperlink" Target="http://dx.doi.org/10.1111/pcmr.12238" TargetMode="External"/><Relationship Id="rId20" Type="http://schemas.openxmlformats.org/officeDocument/2006/relationships/hyperlink" Target="http://www.ncbi.nlm.nih.gov/pmc/articles/PMC4425536/" TargetMode="External"/><Relationship Id="rId29" Type="http://schemas.openxmlformats.org/officeDocument/2006/relationships/hyperlink" Target="https://lung-cancer.canceraustralia.gov.au/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ihw.gov.au/cancer/" TargetMode="External"/><Relationship Id="rId32" Type="http://schemas.openxmlformats.org/officeDocument/2006/relationships/hyperlink" Target="https://lung-cancer.canceraustralia.gov.au/statistic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nlinelibrary.wiley.com/doi/10.1111/his.13067/abstract;jsessionid=5B7F5ACAA05B6E338E263D812476CEB7.f04t01" TargetMode="External"/><Relationship Id="rId23" Type="http://schemas.openxmlformats.org/officeDocument/2006/relationships/hyperlink" Target="http://www.aihw.gov.au/cancers/all-cancers/" TargetMode="External"/><Relationship Id="rId28" Type="http://schemas.openxmlformats.org/officeDocument/2006/relationships/hyperlink" Target="https://bowel-cancer.canceraustralia.gov.au/statistics" TargetMode="External"/><Relationship Id="rId36"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s://www.ncbi.nlm.nih.gov/pmc/articles/PMC4294607/" TargetMode="External"/><Relationship Id="rId31" Type="http://schemas.openxmlformats.org/officeDocument/2006/relationships/hyperlink" Target="https://bowel-cancer.canceraustralia.gov.au/statistics"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ncbi.nlm.nih.gov/pubmed/22948899" TargetMode="External"/><Relationship Id="rId22" Type="http://schemas.openxmlformats.org/officeDocument/2006/relationships/hyperlink" Target="http://ascopubs.org/doi/pdf/10.1200/JCO.2016.71.9807" TargetMode="External"/><Relationship Id="rId27" Type="http://schemas.openxmlformats.org/officeDocument/2006/relationships/hyperlink" Target="http://medicarestatistics.humanservices.gov.au/statistics/mbs_item.jsp" TargetMode="External"/><Relationship Id="rId30" Type="http://schemas.openxmlformats.org/officeDocument/2006/relationships/hyperlink" Target="https://melanoma.canceraustralia.gov.au/statistics" TargetMode="External"/><Relationship Id="rId3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5802-2064-43E1-B74B-CA750A0C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7203</Words>
  <Characters>41060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Sailesh Ram</cp:lastModifiedBy>
  <cp:revision>5</cp:revision>
  <cp:lastPrinted>2018-01-05T00:42:00Z</cp:lastPrinted>
  <dcterms:created xsi:type="dcterms:W3CDTF">2018-01-18T01:36:00Z</dcterms:created>
  <dcterms:modified xsi:type="dcterms:W3CDTF">2018-01-25T03:48:00Z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